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auto"/>
        <w:jc w:val="left"/>
        <w:rPr>
          <w:rFonts w:ascii="仿宋" w:hAnsi="仿宋" w:eastAsia="仿宋"/>
          <w:bCs/>
          <w:sz w:val="32"/>
          <w:szCs w:val="32"/>
        </w:rPr>
      </w:pPr>
      <w:r>
        <w:rPr>
          <w:rFonts w:hint="eastAsia" w:ascii="仿宋" w:hAnsi="仿宋" w:eastAsia="仿宋"/>
          <w:bCs/>
          <w:sz w:val="32"/>
          <w:szCs w:val="32"/>
        </w:rPr>
        <w:t xml:space="preserve">附件1 </w:t>
      </w:r>
    </w:p>
    <w:p>
      <w:pPr>
        <w:pStyle w:val="4"/>
        <w:tabs>
          <w:tab w:val="center" w:pos="4422"/>
        </w:tabs>
        <w:spacing w:line="360" w:lineRule="auto"/>
        <w:rPr>
          <w:rFonts w:ascii="Times New Roman" w:hAnsi="Times New Roman" w:eastAsia="方正小标宋简体"/>
          <w:bCs/>
          <w:color w:val="000000" w:themeColor="text1"/>
          <w:sz w:val="44"/>
          <w:szCs w:val="44"/>
        </w:rPr>
      </w:pPr>
      <w:r>
        <w:rPr>
          <w:rFonts w:ascii="Times New Roman" w:hAnsi="Times New Roman" w:eastAsia="方正小标宋简体"/>
          <w:bCs/>
          <w:color w:val="000000" w:themeColor="text1"/>
          <w:sz w:val="44"/>
          <w:szCs w:val="44"/>
        </w:rPr>
        <w:tab/>
      </w:r>
      <w:r>
        <w:rPr>
          <w:rFonts w:hint="eastAsia" w:ascii="Times New Roman" w:hAnsi="Times New Roman" w:eastAsia="方正小标宋简体"/>
          <w:bCs/>
          <w:color w:val="000000" w:themeColor="text1"/>
          <w:sz w:val="44"/>
          <w:szCs w:val="44"/>
        </w:rPr>
        <w:t>广东省食品行业名牌产品推荐办法</w:t>
      </w:r>
    </w:p>
    <w:p>
      <w:pPr>
        <w:pStyle w:val="4"/>
        <w:spacing w:line="360" w:lineRule="auto"/>
        <w:jc w:val="center"/>
        <w:rPr>
          <w:rFonts w:ascii="Times New Roman" w:hAnsi="Times New Roman" w:eastAsia="仿宋_GB2312"/>
          <w:color w:val="000000" w:themeColor="text1"/>
          <w:sz w:val="28"/>
          <w:szCs w:val="28"/>
        </w:rPr>
      </w:pPr>
      <w:r>
        <w:rPr>
          <w:rFonts w:hint="eastAsia" w:ascii="Times New Roman" w:hAnsi="Times New Roman" w:eastAsia="仿宋_GB2312"/>
          <w:color w:val="000000" w:themeColor="text1"/>
          <w:sz w:val="28"/>
          <w:szCs w:val="28"/>
        </w:rPr>
        <w:t>（试行）</w:t>
      </w:r>
    </w:p>
    <w:p>
      <w:pPr>
        <w:pStyle w:val="4"/>
        <w:spacing w:beforeLines="100" w:afterLines="100" w:line="360" w:lineRule="auto"/>
        <w:jc w:val="center"/>
        <w:rPr>
          <w:rFonts w:ascii="黑体" w:hAnsi="黑体" w:eastAsia="黑体"/>
          <w:bCs/>
          <w:color w:val="000000" w:themeColor="text1"/>
          <w:sz w:val="32"/>
          <w:szCs w:val="32"/>
        </w:rPr>
      </w:pPr>
      <w:r>
        <w:rPr>
          <w:rFonts w:hint="eastAsia" w:ascii="黑体" w:hAnsi="黑体" w:eastAsia="黑体"/>
          <w:bCs/>
          <w:color w:val="000000" w:themeColor="text1"/>
          <w:sz w:val="32"/>
          <w:szCs w:val="32"/>
        </w:rPr>
        <w:t>第一章  总则</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第一条</w:t>
      </w:r>
      <w:r>
        <w:rPr>
          <w:rFonts w:hint="eastAsia" w:ascii="仿宋" w:hAnsi="仿宋" w:eastAsia="仿宋"/>
          <w:color w:val="000000" w:themeColor="text1"/>
          <w:sz w:val="30"/>
          <w:szCs w:val="30"/>
        </w:rPr>
        <w:t xml:space="preserve">  为落实国务院和省政府关于“三品”专项行动部署，持续推进广东省食品行业实施名牌发展战略，促进食品消费市场供给侧结构性改革，结合我省食品行业实际情况，制定本办法。</w:t>
      </w:r>
    </w:p>
    <w:p>
      <w:pPr>
        <w:widowControl/>
        <w:spacing w:line="360" w:lineRule="auto"/>
        <w:ind w:firstLine="640"/>
        <w:jc w:val="left"/>
        <w:rPr>
          <w:rFonts w:ascii="仿宋" w:hAnsi="仿宋" w:eastAsia="仿宋" w:cs="宋体"/>
          <w:color w:val="000000" w:themeColor="text1"/>
          <w:kern w:val="0"/>
          <w:sz w:val="30"/>
          <w:szCs w:val="30"/>
        </w:rPr>
      </w:pPr>
      <w:r>
        <w:rPr>
          <w:rFonts w:hint="eastAsia" w:ascii="仿宋" w:hAnsi="仿宋" w:eastAsia="仿宋" w:cs="宋体"/>
          <w:b/>
          <w:color w:val="000000" w:themeColor="text1"/>
          <w:kern w:val="0"/>
          <w:sz w:val="30"/>
          <w:szCs w:val="30"/>
        </w:rPr>
        <w:t>第二条</w:t>
      </w:r>
      <w:r>
        <w:rPr>
          <w:rFonts w:hint="eastAsia" w:ascii="仿宋" w:hAnsi="仿宋" w:eastAsia="仿宋" w:cs="宋体"/>
          <w:color w:val="000000" w:themeColor="text1"/>
          <w:kern w:val="0"/>
          <w:sz w:val="30"/>
          <w:szCs w:val="30"/>
        </w:rPr>
        <w:t xml:space="preserve"> 广东省食品行业名牌产品推荐工作由广东省食品行业协会（以下简称“协会”）具体组织开展。</w:t>
      </w:r>
    </w:p>
    <w:p>
      <w:pPr>
        <w:pStyle w:val="4"/>
        <w:spacing w:line="360" w:lineRule="auto"/>
        <w:ind w:firstLine="602" w:firstLineChars="200"/>
        <w:rPr>
          <w:rFonts w:ascii="仿宋" w:hAnsi="仿宋" w:eastAsia="仿宋"/>
          <w:color w:val="000000" w:themeColor="text1"/>
          <w:sz w:val="30"/>
          <w:szCs w:val="30"/>
          <w:shd w:val="clear" w:color="auto" w:fill="FFFFFF"/>
        </w:rPr>
      </w:pPr>
      <w:r>
        <w:rPr>
          <w:rFonts w:hint="eastAsia" w:ascii="仿宋" w:hAnsi="仿宋" w:eastAsia="仿宋"/>
          <w:b/>
          <w:color w:val="000000" w:themeColor="text1"/>
          <w:sz w:val="30"/>
          <w:szCs w:val="30"/>
          <w:shd w:val="clear" w:color="auto" w:fill="FFFFFF"/>
        </w:rPr>
        <w:t>第三条</w:t>
      </w:r>
      <w:r>
        <w:rPr>
          <w:rFonts w:hint="eastAsia" w:ascii="仿宋" w:hAnsi="仿宋" w:eastAsia="仿宋"/>
          <w:color w:val="000000" w:themeColor="text1"/>
          <w:sz w:val="30"/>
          <w:szCs w:val="30"/>
          <w:shd w:val="clear" w:color="auto" w:fill="FFFFFF"/>
        </w:rPr>
        <w:t xml:space="preserve"> 本办法适用于在广东省范围内食品行业各相关企事业单位。</w:t>
      </w:r>
    </w:p>
    <w:p>
      <w:pPr>
        <w:pStyle w:val="4"/>
        <w:spacing w:beforeLines="100" w:afterLines="100" w:line="360" w:lineRule="auto"/>
        <w:jc w:val="center"/>
        <w:rPr>
          <w:rFonts w:ascii="黑体" w:hAnsi="黑体" w:eastAsia="黑体"/>
          <w:bCs/>
          <w:color w:val="000000" w:themeColor="text1"/>
          <w:sz w:val="30"/>
          <w:szCs w:val="30"/>
        </w:rPr>
      </w:pPr>
      <w:r>
        <w:rPr>
          <w:rFonts w:hint="eastAsia" w:ascii="黑体" w:hAnsi="黑体" w:eastAsia="黑体"/>
          <w:bCs/>
          <w:color w:val="000000" w:themeColor="text1"/>
          <w:sz w:val="30"/>
          <w:szCs w:val="30"/>
        </w:rPr>
        <w:t>第二章  推荐条件</w:t>
      </w:r>
    </w:p>
    <w:p>
      <w:pPr>
        <w:widowControl/>
        <w:spacing w:line="360" w:lineRule="auto"/>
        <w:ind w:firstLine="640"/>
        <w:jc w:val="left"/>
        <w:rPr>
          <w:rFonts w:ascii="仿宋" w:hAnsi="仿宋" w:eastAsia="仿宋" w:cs="宋体"/>
          <w:color w:val="000000" w:themeColor="text1"/>
          <w:kern w:val="0"/>
          <w:sz w:val="30"/>
          <w:szCs w:val="30"/>
        </w:rPr>
      </w:pPr>
      <w:r>
        <w:rPr>
          <w:rFonts w:hint="eastAsia" w:ascii="仿宋" w:hAnsi="仿宋" w:eastAsia="仿宋" w:cs="宋体"/>
          <w:b/>
          <w:color w:val="000000" w:themeColor="text1"/>
          <w:kern w:val="0"/>
          <w:sz w:val="30"/>
          <w:szCs w:val="30"/>
        </w:rPr>
        <w:t xml:space="preserve">第四条  </w:t>
      </w:r>
      <w:r>
        <w:rPr>
          <w:rFonts w:hint="eastAsia" w:ascii="仿宋" w:hAnsi="仿宋" w:eastAsia="仿宋" w:cs="宋体"/>
          <w:color w:val="000000" w:themeColor="text1"/>
          <w:kern w:val="0"/>
          <w:sz w:val="30"/>
          <w:szCs w:val="30"/>
        </w:rPr>
        <w:t>本办法所规定的广东省食品行业名牌产品是指</w:t>
      </w:r>
      <w:r>
        <w:rPr>
          <w:rFonts w:hint="eastAsia" w:ascii="仿宋" w:hAnsi="仿宋" w:eastAsia="仿宋" w:cs="宋体"/>
          <w:color w:val="000000" w:themeColor="text1"/>
          <w:kern w:val="0"/>
          <w:sz w:val="30"/>
          <w:szCs w:val="30"/>
          <w:lang w:eastAsia="zh-CN"/>
        </w:rPr>
        <w:t>投产上市两年以上、取得较好经济和（或）社会效益，</w:t>
      </w:r>
      <w:r>
        <w:rPr>
          <w:rFonts w:hint="eastAsia" w:ascii="仿宋" w:hAnsi="仿宋" w:eastAsia="仿宋" w:cs="宋体"/>
          <w:color w:val="000000" w:themeColor="text1"/>
          <w:kern w:val="0"/>
          <w:sz w:val="30"/>
          <w:szCs w:val="30"/>
        </w:rPr>
        <w:t>经评</w:t>
      </w:r>
      <w:r>
        <w:rPr>
          <w:rFonts w:hint="eastAsia" w:ascii="仿宋" w:hAnsi="仿宋" w:eastAsia="仿宋" w:cs="宋体"/>
          <w:color w:val="000000" w:themeColor="text1"/>
          <w:kern w:val="0"/>
          <w:sz w:val="30"/>
          <w:szCs w:val="30"/>
          <w:lang w:eastAsia="zh-CN"/>
        </w:rPr>
        <w:t>价</w:t>
      </w:r>
      <w:r>
        <w:rPr>
          <w:rFonts w:hint="eastAsia" w:ascii="仿宋" w:hAnsi="仿宋" w:eastAsia="仿宋" w:cs="宋体"/>
          <w:color w:val="000000" w:themeColor="text1"/>
          <w:kern w:val="0"/>
          <w:sz w:val="30"/>
          <w:szCs w:val="30"/>
        </w:rPr>
        <w:t>确认</w:t>
      </w:r>
      <w:r>
        <w:rPr>
          <w:rFonts w:hint="eastAsia" w:ascii="仿宋" w:hAnsi="仿宋" w:eastAsia="仿宋"/>
          <w:color w:val="000000" w:themeColor="text1"/>
          <w:sz w:val="30"/>
          <w:szCs w:val="30"/>
          <w:shd w:val="clear" w:color="auto" w:fill="FFFFFF"/>
        </w:rPr>
        <w:t>产品</w:t>
      </w:r>
      <w:r>
        <w:rPr>
          <w:rFonts w:ascii="仿宋" w:hAnsi="仿宋" w:eastAsia="仿宋"/>
          <w:color w:val="000000" w:themeColor="text1"/>
          <w:sz w:val="30"/>
          <w:szCs w:val="30"/>
          <w:shd w:val="clear" w:color="auto" w:fill="FFFFFF"/>
        </w:rPr>
        <w:t>质量</w:t>
      </w:r>
      <w:r>
        <w:rPr>
          <w:rFonts w:hint="eastAsia" w:ascii="仿宋" w:hAnsi="仿宋" w:eastAsia="仿宋"/>
          <w:color w:val="000000" w:themeColor="text1"/>
          <w:sz w:val="30"/>
          <w:szCs w:val="30"/>
          <w:shd w:val="clear" w:color="auto" w:fill="FFFFFF"/>
          <w:lang w:eastAsia="zh-CN"/>
        </w:rPr>
        <w:t>水平高、</w:t>
      </w:r>
      <w:r>
        <w:rPr>
          <w:rFonts w:ascii="仿宋" w:hAnsi="仿宋" w:eastAsia="仿宋"/>
          <w:color w:val="000000" w:themeColor="text1"/>
          <w:sz w:val="30"/>
          <w:szCs w:val="30"/>
          <w:shd w:val="clear" w:color="auto" w:fill="FFFFFF"/>
        </w:rPr>
        <w:t>市场占有率和</w:t>
      </w:r>
      <w:r>
        <w:rPr>
          <w:rFonts w:hint="eastAsia" w:ascii="仿宋" w:hAnsi="仿宋" w:eastAsia="仿宋"/>
          <w:color w:val="000000" w:themeColor="text1"/>
          <w:sz w:val="30"/>
          <w:szCs w:val="30"/>
          <w:shd w:val="clear" w:color="auto" w:fill="FFFFFF"/>
          <w:lang w:eastAsia="zh-CN"/>
        </w:rPr>
        <w:t>品牌</w:t>
      </w:r>
      <w:r>
        <w:rPr>
          <w:rFonts w:ascii="仿宋" w:hAnsi="仿宋" w:eastAsia="仿宋"/>
          <w:color w:val="000000" w:themeColor="text1"/>
          <w:sz w:val="30"/>
          <w:szCs w:val="30"/>
          <w:shd w:val="clear" w:color="auto" w:fill="FFFFFF"/>
        </w:rPr>
        <w:t>知名度</w:t>
      </w:r>
      <w:r>
        <w:rPr>
          <w:rFonts w:hint="eastAsia" w:ascii="仿宋" w:hAnsi="仿宋" w:eastAsia="仿宋"/>
          <w:color w:val="000000" w:themeColor="text1"/>
          <w:sz w:val="30"/>
          <w:szCs w:val="30"/>
          <w:shd w:val="clear" w:color="auto" w:fill="FFFFFF"/>
          <w:lang w:eastAsia="zh-CN"/>
        </w:rPr>
        <w:t>高，</w:t>
      </w:r>
      <w:r>
        <w:rPr>
          <w:rFonts w:ascii="仿宋" w:hAnsi="仿宋" w:eastAsia="仿宋"/>
          <w:color w:val="000000" w:themeColor="text1"/>
          <w:sz w:val="30"/>
          <w:szCs w:val="30"/>
          <w:shd w:val="clear" w:color="auto" w:fill="FFFFFF"/>
        </w:rPr>
        <w:t>市场竞争力</w:t>
      </w:r>
      <w:r>
        <w:rPr>
          <w:rFonts w:hint="eastAsia" w:ascii="仿宋" w:hAnsi="仿宋" w:eastAsia="仿宋"/>
          <w:color w:val="000000" w:themeColor="text1"/>
          <w:sz w:val="30"/>
          <w:szCs w:val="30"/>
          <w:shd w:val="clear" w:color="auto" w:fill="FFFFFF"/>
          <w:lang w:eastAsia="zh-CN"/>
        </w:rPr>
        <w:t>强，符合食品产业发展政策和趋势</w:t>
      </w:r>
      <w:r>
        <w:rPr>
          <w:rFonts w:ascii="仿宋" w:hAnsi="仿宋" w:eastAsia="仿宋"/>
          <w:color w:val="000000" w:themeColor="text1"/>
          <w:sz w:val="30"/>
          <w:szCs w:val="30"/>
          <w:shd w:val="clear" w:color="auto" w:fill="FFFFFF"/>
        </w:rPr>
        <w:t>的</w:t>
      </w:r>
      <w:r>
        <w:rPr>
          <w:rFonts w:hint="eastAsia" w:ascii="仿宋" w:hAnsi="仿宋" w:eastAsia="仿宋"/>
          <w:color w:val="000000" w:themeColor="text1"/>
          <w:sz w:val="30"/>
          <w:szCs w:val="30"/>
          <w:shd w:val="clear" w:color="auto" w:fill="FFFFFF"/>
        </w:rPr>
        <w:t>我省食品</w:t>
      </w:r>
      <w:r>
        <w:rPr>
          <w:rFonts w:ascii="仿宋" w:hAnsi="仿宋" w:eastAsia="仿宋"/>
          <w:color w:val="000000" w:themeColor="text1"/>
          <w:sz w:val="30"/>
          <w:szCs w:val="30"/>
          <w:shd w:val="clear" w:color="auto" w:fill="FFFFFF"/>
        </w:rPr>
        <w:t>产品。</w:t>
      </w:r>
      <w:bookmarkStart w:id="0" w:name="_GoBack"/>
      <w:bookmarkEnd w:id="0"/>
    </w:p>
    <w:p>
      <w:pPr>
        <w:widowControl/>
        <w:spacing w:line="360" w:lineRule="auto"/>
        <w:ind w:firstLine="640"/>
        <w:jc w:val="left"/>
        <w:rPr>
          <w:rFonts w:ascii="仿宋" w:hAnsi="仿宋" w:eastAsia="仿宋"/>
          <w:color w:val="000000" w:themeColor="text1"/>
          <w:sz w:val="30"/>
          <w:szCs w:val="30"/>
          <w:shd w:val="clear" w:color="auto" w:fill="FFFFFF"/>
        </w:rPr>
      </w:pPr>
      <w:r>
        <w:rPr>
          <w:rFonts w:hint="eastAsia" w:ascii="仿宋" w:hAnsi="仿宋" w:eastAsia="仿宋"/>
          <w:b/>
          <w:color w:val="000000" w:themeColor="text1"/>
          <w:sz w:val="30"/>
          <w:szCs w:val="30"/>
          <w:shd w:val="clear" w:color="auto" w:fill="FFFFFF"/>
        </w:rPr>
        <w:t>第五条</w:t>
      </w:r>
      <w:r>
        <w:rPr>
          <w:rFonts w:hint="eastAsia" w:ascii="仿宋" w:hAnsi="仿宋" w:eastAsia="仿宋"/>
          <w:color w:val="000000" w:themeColor="text1"/>
          <w:sz w:val="30"/>
          <w:szCs w:val="30"/>
          <w:shd w:val="clear" w:color="auto" w:fill="FFFFFF"/>
        </w:rPr>
        <w:t xml:space="preserve">  申报企业必须符合下列条件：</w:t>
      </w:r>
    </w:p>
    <w:p>
      <w:pPr>
        <w:pStyle w:val="17"/>
        <w:ind w:firstLine="600"/>
        <w:rPr>
          <w:rFonts w:ascii="仿宋" w:hAnsi="仿宋" w:eastAsia="仿宋"/>
          <w:color w:val="000000" w:themeColor="text1"/>
          <w:sz w:val="30"/>
          <w:szCs w:val="30"/>
          <w:shd w:val="clear" w:color="auto" w:fill="FFFFFF"/>
        </w:rPr>
      </w:pPr>
      <w:r>
        <w:rPr>
          <w:rFonts w:hint="eastAsia" w:ascii="仿宋" w:hAnsi="仿宋" w:eastAsia="仿宋"/>
          <w:color w:val="000000" w:themeColor="text1"/>
          <w:sz w:val="30"/>
          <w:szCs w:val="30"/>
          <w:shd w:val="clear" w:color="auto" w:fill="FFFFFF"/>
        </w:rPr>
        <w:t>（一）近三年，</w:t>
      </w:r>
      <w:r>
        <w:rPr>
          <w:rFonts w:hint="eastAsia" w:ascii="仿宋" w:hAnsi="仿宋" w:eastAsia="仿宋"/>
          <w:color w:val="000000" w:themeColor="text1"/>
          <w:sz w:val="30"/>
          <w:szCs w:val="30"/>
        </w:rPr>
        <w:t>企业生产经营情况良好，</w:t>
      </w:r>
      <w:r>
        <w:rPr>
          <w:rFonts w:hint="eastAsia" w:ascii="仿宋" w:hAnsi="仿宋" w:eastAsia="仿宋"/>
          <w:color w:val="000000" w:themeColor="text1"/>
          <w:sz w:val="30"/>
          <w:szCs w:val="30"/>
          <w:shd w:val="clear" w:color="auto" w:fill="FFFFFF"/>
        </w:rPr>
        <w:t>诚信守法，信誉良好，无偷税漏税行为；</w:t>
      </w:r>
    </w:p>
    <w:p>
      <w:pPr>
        <w:pStyle w:val="17"/>
        <w:ind w:firstLine="600"/>
        <w:rPr>
          <w:rFonts w:ascii="仿宋" w:hAnsi="仿宋" w:eastAsia="仿宋"/>
          <w:color w:val="000000" w:themeColor="text1"/>
          <w:sz w:val="30"/>
          <w:szCs w:val="30"/>
          <w:shd w:val="clear" w:color="auto" w:fill="FFFFFF"/>
        </w:rPr>
      </w:pPr>
      <w:r>
        <w:rPr>
          <w:rFonts w:hint="eastAsia" w:ascii="仿宋" w:hAnsi="仿宋" w:eastAsia="仿宋"/>
          <w:color w:val="000000" w:themeColor="text1"/>
          <w:sz w:val="30"/>
          <w:szCs w:val="30"/>
          <w:shd w:val="clear" w:color="auto" w:fill="FFFFFF"/>
        </w:rPr>
        <w:t>（二）近三年，企业未发生重大生产安全事故和环保违规等问题；</w:t>
      </w:r>
    </w:p>
    <w:p>
      <w:pPr>
        <w:pStyle w:val="17"/>
        <w:ind w:firstLine="600"/>
        <w:rPr>
          <w:rFonts w:ascii="仿宋" w:hAnsi="仿宋" w:eastAsia="仿宋"/>
          <w:color w:val="000000" w:themeColor="text1"/>
          <w:sz w:val="30"/>
          <w:szCs w:val="30"/>
          <w:shd w:val="clear" w:color="auto" w:fill="FFFFFF"/>
        </w:rPr>
      </w:pPr>
      <w:r>
        <w:rPr>
          <w:rFonts w:hint="eastAsia" w:ascii="仿宋" w:hAnsi="仿宋" w:eastAsia="仿宋"/>
          <w:color w:val="000000" w:themeColor="text1"/>
          <w:sz w:val="30"/>
          <w:szCs w:val="30"/>
          <w:shd w:val="clear" w:color="auto" w:fill="FFFFFF"/>
        </w:rPr>
        <w:t>（三）近三年内申报产品在市级以上政府职能部门抽检中未出现不合格情况。</w:t>
      </w:r>
    </w:p>
    <w:p>
      <w:pPr>
        <w:pStyle w:val="4"/>
        <w:spacing w:beforeLines="100" w:afterLines="100" w:line="360" w:lineRule="auto"/>
        <w:jc w:val="center"/>
        <w:rPr>
          <w:rFonts w:ascii="黑体" w:hAnsi="黑体" w:eastAsia="黑体"/>
          <w:bCs/>
          <w:color w:val="000000" w:themeColor="text1"/>
          <w:sz w:val="30"/>
          <w:szCs w:val="30"/>
        </w:rPr>
      </w:pPr>
      <w:r>
        <w:rPr>
          <w:rFonts w:hint="eastAsia" w:ascii="黑体" w:hAnsi="黑体" w:eastAsia="黑体"/>
          <w:bCs/>
          <w:color w:val="000000" w:themeColor="text1"/>
          <w:sz w:val="30"/>
          <w:szCs w:val="30"/>
        </w:rPr>
        <w:t>第三章  申报材料及渠道</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第六条</w:t>
      </w:r>
      <w:r>
        <w:rPr>
          <w:rFonts w:hint="eastAsia" w:ascii="仿宋" w:hAnsi="仿宋" w:eastAsia="仿宋"/>
          <w:color w:val="000000" w:themeColor="text1"/>
          <w:sz w:val="30"/>
          <w:szCs w:val="30"/>
        </w:rPr>
        <w:t xml:space="preserve">  名牌产品</w:t>
      </w:r>
      <w:r>
        <w:rPr>
          <w:rFonts w:hint="eastAsia" w:ascii="仿宋" w:hAnsi="仿宋" w:eastAsia="仿宋"/>
          <w:bCs/>
          <w:color w:val="000000" w:themeColor="text1"/>
          <w:sz w:val="30"/>
          <w:szCs w:val="30"/>
        </w:rPr>
        <w:t>推荐</w:t>
      </w:r>
      <w:r>
        <w:rPr>
          <w:rFonts w:hint="eastAsia" w:ascii="仿宋" w:hAnsi="仿宋" w:eastAsia="仿宋"/>
          <w:color w:val="000000" w:themeColor="text1"/>
          <w:sz w:val="30"/>
          <w:szCs w:val="30"/>
        </w:rPr>
        <w:t>工作</w:t>
      </w:r>
      <w:r>
        <w:rPr>
          <w:rFonts w:hint="eastAsia" w:ascii="仿宋" w:hAnsi="仿宋" w:eastAsia="仿宋"/>
          <w:bCs/>
          <w:color w:val="000000" w:themeColor="text1"/>
          <w:sz w:val="30"/>
          <w:szCs w:val="30"/>
        </w:rPr>
        <w:t>每年开展</w:t>
      </w:r>
      <w:r>
        <w:rPr>
          <w:rFonts w:hint="eastAsia" w:ascii="仿宋" w:hAnsi="仿宋" w:eastAsia="仿宋"/>
          <w:color w:val="000000" w:themeColor="text1"/>
          <w:sz w:val="30"/>
          <w:szCs w:val="30"/>
        </w:rPr>
        <w:t>一次。</w:t>
      </w:r>
      <w:r>
        <w:rPr>
          <w:rFonts w:hint="eastAsia" w:ascii="仿宋" w:hAnsi="仿宋" w:eastAsia="仿宋"/>
          <w:bCs/>
          <w:color w:val="000000" w:themeColor="text1"/>
          <w:sz w:val="30"/>
          <w:szCs w:val="30"/>
        </w:rPr>
        <w:t>企业申报以自愿为原则，</w:t>
      </w:r>
      <w:r>
        <w:rPr>
          <w:rFonts w:hint="eastAsia" w:ascii="仿宋" w:hAnsi="仿宋" w:eastAsia="仿宋"/>
          <w:color w:val="000000" w:themeColor="text1"/>
          <w:sz w:val="30"/>
          <w:szCs w:val="30"/>
        </w:rPr>
        <w:t>同一企业可申报不同品类的多个产品或同一品类的多个产品（同种产品不同规格属于同类产品）。</w:t>
      </w:r>
    </w:p>
    <w:p>
      <w:pPr>
        <w:pStyle w:val="4"/>
        <w:spacing w:line="360" w:lineRule="auto"/>
        <w:ind w:firstLine="602" w:firstLineChars="200"/>
        <w:rPr>
          <w:rFonts w:ascii="仿宋" w:hAnsi="仿宋" w:eastAsia="仿宋"/>
          <w:b/>
          <w:bCs/>
          <w:color w:val="000000" w:themeColor="text1"/>
          <w:sz w:val="30"/>
          <w:szCs w:val="30"/>
        </w:rPr>
      </w:pPr>
      <w:r>
        <w:rPr>
          <w:rFonts w:hint="eastAsia" w:ascii="仿宋" w:hAnsi="仿宋" w:eastAsia="仿宋"/>
          <w:b/>
          <w:color w:val="000000" w:themeColor="text1"/>
          <w:sz w:val="30"/>
          <w:szCs w:val="30"/>
        </w:rPr>
        <w:t>第七条</w:t>
      </w:r>
      <w:r>
        <w:rPr>
          <w:rFonts w:hint="eastAsia" w:ascii="仿宋" w:hAnsi="仿宋" w:eastAsia="仿宋"/>
          <w:color w:val="000000" w:themeColor="text1"/>
          <w:sz w:val="30"/>
          <w:szCs w:val="30"/>
        </w:rPr>
        <w:t xml:space="preserve">  申报单位需填报《广东省食品行业名牌产品申报表》</w:t>
      </w:r>
      <w:r>
        <w:rPr>
          <w:rFonts w:hint="eastAsia" w:ascii="仿宋" w:hAnsi="仿宋" w:eastAsia="仿宋"/>
          <w:bCs/>
          <w:color w:val="000000" w:themeColor="text1"/>
          <w:sz w:val="30"/>
          <w:szCs w:val="30"/>
        </w:rPr>
        <w:t>。</w:t>
      </w:r>
      <w:r>
        <w:rPr>
          <w:rFonts w:hint="eastAsia" w:ascii="仿宋" w:hAnsi="仿宋" w:eastAsia="仿宋"/>
          <w:color w:val="000000" w:themeColor="text1"/>
          <w:sz w:val="30"/>
          <w:szCs w:val="30"/>
        </w:rPr>
        <w:t>每申报一种产品填报一份《申报表》，</w:t>
      </w:r>
      <w:r>
        <w:rPr>
          <w:rFonts w:hint="eastAsia" w:ascii="仿宋" w:hAnsi="仿宋" w:eastAsia="仿宋"/>
          <w:bCs/>
          <w:color w:val="000000" w:themeColor="text1"/>
          <w:sz w:val="30"/>
          <w:szCs w:val="30"/>
        </w:rPr>
        <w:t>并提供相关证明材料复印件</w:t>
      </w:r>
      <w:r>
        <w:rPr>
          <w:rFonts w:hint="eastAsia" w:ascii="仿宋" w:hAnsi="仿宋" w:eastAsia="仿宋"/>
          <w:color w:val="000000" w:themeColor="text1"/>
          <w:sz w:val="30"/>
          <w:szCs w:val="30"/>
        </w:rPr>
        <w:t>（编制资料目录，并按顺序装订成册。带“#”项为非必备项，但若声称具备或满足相应条件时，则必须提供相应证明材料），一式三份。</w:t>
      </w:r>
    </w:p>
    <w:p>
      <w:pPr>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1.营业执照、生产许可证、商标注册证；</w:t>
      </w:r>
    </w:p>
    <w:p>
      <w:pPr>
        <w:pStyle w:val="4"/>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2.相关质量认证证书、产品获奖证书；</w:t>
      </w:r>
    </w:p>
    <w:p>
      <w:pPr>
        <w:pStyle w:val="4"/>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3.产品生产执行标准；</w:t>
      </w:r>
    </w:p>
    <w:p>
      <w:pPr>
        <w:ind w:firstLine="645"/>
        <w:rPr>
          <w:rFonts w:ascii="仿宋" w:hAnsi="仿宋" w:eastAsia="仿宋"/>
          <w:color w:val="000000" w:themeColor="text1"/>
          <w:sz w:val="30"/>
          <w:szCs w:val="30"/>
        </w:rPr>
      </w:pPr>
      <w:r>
        <w:rPr>
          <w:rFonts w:hint="eastAsia" w:ascii="仿宋" w:hAnsi="仿宋" w:eastAsia="仿宋"/>
          <w:color w:val="000000" w:themeColor="text1"/>
          <w:sz w:val="30"/>
          <w:szCs w:val="30"/>
        </w:rPr>
        <w:t>4.申报产品近半年内市场抽查检验报告或委托送检报告；</w:t>
      </w:r>
    </w:p>
    <w:p>
      <w:pPr>
        <w:pStyle w:val="4"/>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#5.</w:t>
      </w:r>
      <w:r>
        <w:rPr>
          <w:rFonts w:hint="eastAsia" w:ascii="仿宋" w:hAnsi="仿宋" w:eastAsia="仿宋"/>
          <w:color w:val="000000" w:themeColor="text1"/>
          <w:sz w:val="30"/>
          <w:szCs w:val="30"/>
          <w:shd w:val="clear" w:color="auto" w:fill="FFFFFF"/>
        </w:rPr>
        <w:t xml:space="preserve"> 顾客（用户）满意度调查报告或证明；</w:t>
      </w:r>
    </w:p>
    <w:p>
      <w:pPr>
        <w:pStyle w:val="4"/>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#6.获得的与该申报产品相关的其他鉴定证书或荣誉证书、证明材料</w:t>
      </w:r>
      <w:r>
        <w:rPr>
          <w:rFonts w:hint="eastAsia" w:ascii="仿宋" w:hAnsi="仿宋" w:eastAsia="仿宋" w:cs="Arial"/>
          <w:color w:val="000000" w:themeColor="text1"/>
          <w:sz w:val="30"/>
          <w:szCs w:val="30"/>
          <w:shd w:val="clear" w:color="auto" w:fill="FFFFFF"/>
        </w:rPr>
        <w:t>等；</w:t>
      </w:r>
    </w:p>
    <w:p>
      <w:pPr>
        <w:pStyle w:val="4"/>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#7.企业获得食品安全保障及诚信体系建设认证等证书。</w:t>
      </w:r>
    </w:p>
    <w:p>
      <w:pPr>
        <w:pStyle w:val="4"/>
        <w:spacing w:line="540" w:lineRule="exact"/>
        <w:ind w:firstLine="602" w:firstLineChars="200"/>
        <w:rPr>
          <w:rFonts w:ascii="仿宋" w:hAnsi="仿宋" w:eastAsia="仿宋"/>
          <w:color w:val="000000"/>
          <w:sz w:val="30"/>
          <w:szCs w:val="30"/>
        </w:rPr>
      </w:pPr>
      <w:r>
        <w:rPr>
          <w:rFonts w:hint="eastAsia" w:ascii="仿宋" w:hAnsi="仿宋" w:eastAsia="仿宋"/>
          <w:b/>
          <w:sz w:val="30"/>
          <w:szCs w:val="30"/>
          <w:shd w:val="clear" w:color="auto" w:fill="FFFFFF"/>
        </w:rPr>
        <w:t>注：</w:t>
      </w:r>
      <w:r>
        <w:rPr>
          <w:rFonts w:hint="eastAsia" w:ascii="仿宋" w:hAnsi="仿宋" w:eastAsia="仿宋"/>
          <w:sz w:val="30"/>
          <w:szCs w:val="30"/>
          <w:shd w:val="clear" w:color="auto" w:fill="FFFFFF"/>
        </w:rPr>
        <w:t>对在食品相关公开出版的科普杂志（具有ISSN和CN刊号）上发表相关的科普文章的申报产品予以优先推荐。</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第八条</w:t>
      </w:r>
      <w:r>
        <w:rPr>
          <w:rFonts w:hint="eastAsia" w:ascii="仿宋" w:hAnsi="仿宋" w:eastAsia="仿宋"/>
          <w:color w:val="000000" w:themeColor="text1"/>
          <w:sz w:val="30"/>
          <w:szCs w:val="30"/>
        </w:rPr>
        <w:t xml:space="preserve">  申报单位将《申报表》及相关附件材料和产品样品一并报送至协会秘书处。产品样品不少于12个预包装单位（市售规格）。若产品样品需要冷藏、冷冻等特殊贮藏条件要求的，或保质期少于45天的，则由协会秘书处通知送样。</w:t>
      </w:r>
    </w:p>
    <w:p>
      <w:pPr>
        <w:pStyle w:val="4"/>
        <w:spacing w:beforeLines="100" w:afterLines="100" w:line="360" w:lineRule="auto"/>
        <w:jc w:val="center"/>
        <w:rPr>
          <w:rFonts w:ascii="黑体" w:hAnsi="黑体" w:eastAsia="黑体"/>
          <w:bCs/>
          <w:color w:val="000000" w:themeColor="text1"/>
          <w:sz w:val="30"/>
          <w:szCs w:val="30"/>
        </w:rPr>
      </w:pPr>
      <w:r>
        <w:rPr>
          <w:rFonts w:hint="eastAsia" w:ascii="黑体" w:hAnsi="黑体" w:eastAsia="黑体"/>
          <w:bCs/>
          <w:color w:val="000000" w:themeColor="text1"/>
          <w:sz w:val="30"/>
          <w:szCs w:val="30"/>
        </w:rPr>
        <w:t>第四章  组织管理</w:t>
      </w:r>
    </w:p>
    <w:p>
      <w:pPr>
        <w:pStyle w:val="7"/>
        <w:shd w:val="clear" w:color="auto" w:fill="FFFFFF"/>
        <w:spacing w:before="0" w:beforeAutospacing="0" w:after="0" w:afterAutospacing="0" w:line="360" w:lineRule="auto"/>
        <w:ind w:left="2" w:firstLine="599" w:firstLineChars="199"/>
        <w:jc w:val="both"/>
        <w:rPr>
          <w:rFonts w:ascii="仿宋" w:hAnsi="仿宋" w:eastAsia="仿宋"/>
          <w:color w:val="000000" w:themeColor="text1"/>
          <w:sz w:val="30"/>
          <w:szCs w:val="30"/>
          <w:u w:val="single"/>
        </w:rPr>
      </w:pPr>
      <w:r>
        <w:rPr>
          <w:rFonts w:hint="eastAsia" w:ascii="仿宋" w:hAnsi="仿宋" w:eastAsia="仿宋"/>
          <w:b/>
          <w:color w:val="000000" w:themeColor="text1"/>
          <w:sz w:val="30"/>
          <w:szCs w:val="30"/>
        </w:rPr>
        <w:t>第九条</w:t>
      </w:r>
      <w:r>
        <w:rPr>
          <w:rFonts w:hint="eastAsia" w:ascii="仿宋" w:hAnsi="仿宋" w:eastAsia="仿宋"/>
          <w:color w:val="000000" w:themeColor="text1"/>
          <w:sz w:val="30"/>
          <w:szCs w:val="30"/>
        </w:rPr>
        <w:t xml:space="preserve">  为使各项工作有序组织落实，协会特成立广东省食品行业名牌产品推荐委员会（简称“推荐委员会”），负责推荐工作的研究部署和统筹协调，以及审议决策。委员会由协会副秘书长级别以上人员和各专业委员会理事长、分会会长组成。</w:t>
      </w:r>
    </w:p>
    <w:p>
      <w:pPr>
        <w:pStyle w:val="7"/>
        <w:shd w:val="clear" w:color="auto" w:fill="FFFFFF"/>
        <w:spacing w:before="0" w:beforeAutospacing="0" w:after="0" w:afterAutospacing="0" w:line="360" w:lineRule="auto"/>
        <w:ind w:left="2" w:firstLine="599" w:firstLineChars="199"/>
        <w:jc w:val="both"/>
        <w:rPr>
          <w:rFonts w:ascii="仿宋" w:hAnsi="仿宋" w:eastAsia="仿宋"/>
          <w:color w:val="000000" w:themeColor="text1"/>
          <w:sz w:val="30"/>
          <w:szCs w:val="30"/>
        </w:rPr>
      </w:pPr>
      <w:r>
        <w:rPr>
          <w:rFonts w:hint="eastAsia" w:ascii="仿宋" w:hAnsi="仿宋" w:eastAsia="仿宋"/>
          <w:b/>
          <w:color w:val="000000" w:themeColor="text1"/>
          <w:sz w:val="30"/>
          <w:szCs w:val="30"/>
        </w:rPr>
        <w:t xml:space="preserve">第十条  </w:t>
      </w:r>
      <w:r>
        <w:rPr>
          <w:rFonts w:hint="eastAsia" w:ascii="仿宋" w:hAnsi="仿宋" w:eastAsia="仿宋"/>
          <w:color w:val="000000" w:themeColor="text1"/>
          <w:sz w:val="30"/>
          <w:szCs w:val="30"/>
        </w:rPr>
        <w:t>鼓励各地市食品行业协会（商会）自愿推荐本单位领导加入推荐委员会，以更好地促进当地食品行业名牌产品的培育。</w:t>
      </w:r>
    </w:p>
    <w:p>
      <w:pPr>
        <w:pStyle w:val="7"/>
        <w:shd w:val="clear" w:color="auto" w:fill="FFFFFF"/>
        <w:spacing w:before="0" w:beforeAutospacing="0" w:after="0" w:afterAutospacing="0" w:line="360" w:lineRule="auto"/>
        <w:ind w:firstLine="586" w:firstLineChars="200"/>
        <w:rPr>
          <w:rStyle w:val="15"/>
          <w:rFonts w:ascii="仿宋" w:hAnsi="仿宋" w:eastAsia="仿宋" w:cs="Arial"/>
          <w:color w:val="000000" w:themeColor="text1"/>
          <w:spacing w:val="-4"/>
          <w:sz w:val="30"/>
          <w:szCs w:val="30"/>
          <w:shd w:val="clear" w:color="auto" w:fill="FFFFFF"/>
        </w:rPr>
      </w:pPr>
      <w:r>
        <w:rPr>
          <w:rStyle w:val="15"/>
          <w:rFonts w:hint="eastAsia" w:ascii="仿宋" w:hAnsi="仿宋" w:eastAsia="仿宋" w:cs="Arial"/>
          <w:b/>
          <w:color w:val="000000" w:themeColor="text1"/>
          <w:spacing w:val="-4"/>
          <w:sz w:val="30"/>
          <w:szCs w:val="30"/>
          <w:shd w:val="clear" w:color="auto" w:fill="FFFFFF"/>
        </w:rPr>
        <w:t>第十一条</w:t>
      </w:r>
      <w:r>
        <w:rPr>
          <w:rStyle w:val="15"/>
          <w:rFonts w:hint="eastAsia" w:ascii="仿宋" w:hAnsi="仿宋" w:eastAsia="仿宋" w:cs="Arial"/>
          <w:color w:val="000000" w:themeColor="text1"/>
          <w:spacing w:val="-4"/>
          <w:sz w:val="30"/>
          <w:szCs w:val="30"/>
          <w:shd w:val="clear" w:color="auto" w:fill="FFFFFF"/>
        </w:rPr>
        <w:t xml:space="preserve">  </w:t>
      </w:r>
      <w:r>
        <w:rPr>
          <w:rFonts w:hint="eastAsia" w:ascii="仿宋" w:hAnsi="仿宋" w:eastAsia="仿宋"/>
          <w:color w:val="000000" w:themeColor="text1"/>
          <w:sz w:val="30"/>
          <w:szCs w:val="30"/>
        </w:rPr>
        <w:t>名牌产品的申报咨询、材料受理、初审</w:t>
      </w:r>
      <w:r>
        <w:rPr>
          <w:rStyle w:val="15"/>
          <w:rFonts w:hint="eastAsia" w:ascii="仿宋" w:hAnsi="仿宋" w:eastAsia="仿宋" w:cs="Arial"/>
          <w:color w:val="000000" w:themeColor="text1"/>
          <w:spacing w:val="-4"/>
          <w:sz w:val="30"/>
          <w:szCs w:val="30"/>
          <w:shd w:val="clear" w:color="auto" w:fill="FFFFFF"/>
        </w:rPr>
        <w:t>等具体工作</w:t>
      </w:r>
      <w:r>
        <w:rPr>
          <w:rFonts w:hint="eastAsia" w:ascii="仿宋" w:hAnsi="仿宋" w:eastAsia="仿宋"/>
          <w:color w:val="000000" w:themeColor="text1"/>
          <w:sz w:val="30"/>
          <w:szCs w:val="30"/>
        </w:rPr>
        <w:t>协会秘书处科技质量部归口负责。</w:t>
      </w:r>
    </w:p>
    <w:p>
      <w:pPr>
        <w:pStyle w:val="7"/>
        <w:shd w:val="clear" w:color="auto" w:fill="FFFFFF"/>
        <w:spacing w:before="0" w:beforeAutospacing="0" w:after="0" w:afterAutospacing="0" w:line="360" w:lineRule="auto"/>
        <w:ind w:firstLine="602" w:firstLineChars="200"/>
        <w:rPr>
          <w:rStyle w:val="15"/>
          <w:rFonts w:ascii="仿宋" w:hAnsi="仿宋" w:eastAsia="仿宋" w:cs="Arial"/>
          <w:color w:val="000000" w:themeColor="text1"/>
          <w:spacing w:val="-4"/>
          <w:sz w:val="30"/>
          <w:szCs w:val="30"/>
          <w:shd w:val="clear" w:color="auto" w:fill="FFFFFF"/>
        </w:rPr>
      </w:pPr>
      <w:r>
        <w:rPr>
          <w:rFonts w:hint="eastAsia" w:ascii="仿宋" w:hAnsi="仿宋" w:eastAsia="仿宋"/>
          <w:b/>
          <w:color w:val="000000" w:themeColor="text1"/>
          <w:sz w:val="30"/>
          <w:szCs w:val="30"/>
        </w:rPr>
        <w:t xml:space="preserve">第十二条  </w:t>
      </w:r>
      <w:r>
        <w:rPr>
          <w:rFonts w:hint="eastAsia" w:ascii="仿宋" w:hAnsi="仿宋" w:eastAsia="仿宋"/>
          <w:color w:val="000000" w:themeColor="text1"/>
          <w:sz w:val="30"/>
          <w:szCs w:val="30"/>
        </w:rPr>
        <w:t>协会</w:t>
      </w:r>
      <w:r>
        <w:rPr>
          <w:rStyle w:val="15"/>
          <w:rFonts w:hint="eastAsia" w:ascii="仿宋" w:hAnsi="仿宋" w:eastAsia="仿宋" w:cs="Arial"/>
          <w:color w:val="000000" w:themeColor="text1"/>
          <w:spacing w:val="-4"/>
          <w:sz w:val="30"/>
          <w:szCs w:val="30"/>
          <w:shd w:val="clear" w:color="auto" w:fill="FFFFFF"/>
        </w:rPr>
        <w:t>授权</w:t>
      </w:r>
      <w:r>
        <w:rPr>
          <w:rFonts w:hint="eastAsia" w:ascii="仿宋" w:hAnsi="仿宋" w:eastAsia="仿宋"/>
          <w:color w:val="000000" w:themeColor="text1"/>
          <w:sz w:val="30"/>
          <w:szCs w:val="30"/>
        </w:rPr>
        <w:t>广东省南方食品医药行业评估中心（简称“评估中心”）</w:t>
      </w:r>
      <w:r>
        <w:rPr>
          <w:rStyle w:val="15"/>
          <w:rFonts w:hint="eastAsia" w:ascii="仿宋" w:hAnsi="仿宋" w:eastAsia="仿宋" w:cs="Arial"/>
          <w:color w:val="000000" w:themeColor="text1"/>
          <w:spacing w:val="-4"/>
          <w:sz w:val="30"/>
          <w:szCs w:val="30"/>
          <w:shd w:val="clear" w:color="auto" w:fill="FFFFFF"/>
        </w:rPr>
        <w:t>组建专家评价组，对申报产品进行综合评价，提出推荐意见。</w:t>
      </w:r>
      <w:r>
        <w:rPr>
          <w:rStyle w:val="15"/>
          <w:rFonts w:ascii="仿宋" w:hAnsi="仿宋" w:eastAsia="仿宋" w:cs="Arial"/>
          <w:color w:val="000000" w:themeColor="text1"/>
          <w:spacing w:val="-4"/>
          <w:sz w:val="30"/>
          <w:szCs w:val="30"/>
          <w:shd w:val="clear" w:color="auto" w:fill="FFFFFF"/>
        </w:rPr>
        <w:t xml:space="preserve"> </w:t>
      </w:r>
    </w:p>
    <w:p>
      <w:pPr>
        <w:pStyle w:val="7"/>
        <w:shd w:val="clear" w:color="auto" w:fill="FFFFFF"/>
        <w:spacing w:before="0" w:beforeAutospacing="0" w:after="0" w:afterAutospacing="0" w:line="360" w:lineRule="auto"/>
        <w:ind w:firstLine="602" w:firstLineChars="200"/>
        <w:rPr>
          <w:rStyle w:val="15"/>
          <w:rFonts w:ascii="仿宋" w:hAnsi="仿宋" w:eastAsia="仿宋" w:cs="Arial"/>
          <w:color w:val="000000" w:themeColor="text1"/>
          <w:spacing w:val="-4"/>
          <w:sz w:val="30"/>
          <w:szCs w:val="30"/>
          <w:shd w:val="clear" w:color="auto" w:fill="FFFFFF"/>
        </w:rPr>
      </w:pPr>
      <w:r>
        <w:rPr>
          <w:rFonts w:hint="eastAsia" w:ascii="仿宋" w:hAnsi="仿宋" w:eastAsia="仿宋"/>
          <w:b/>
          <w:color w:val="000000" w:themeColor="text1"/>
          <w:sz w:val="30"/>
          <w:szCs w:val="30"/>
        </w:rPr>
        <w:t xml:space="preserve">第十三条  </w:t>
      </w:r>
      <w:r>
        <w:rPr>
          <w:rFonts w:hint="eastAsia" w:ascii="仿宋" w:hAnsi="仿宋" w:eastAsia="仿宋"/>
          <w:color w:val="000000" w:themeColor="text1"/>
          <w:sz w:val="30"/>
          <w:szCs w:val="30"/>
        </w:rPr>
        <w:t>协会</w:t>
      </w:r>
      <w:r>
        <w:rPr>
          <w:rStyle w:val="15"/>
          <w:rFonts w:hint="eastAsia" w:ascii="仿宋" w:hAnsi="仿宋" w:eastAsia="仿宋" w:cs="Arial"/>
          <w:color w:val="000000" w:themeColor="text1"/>
          <w:spacing w:val="-4"/>
          <w:sz w:val="30"/>
          <w:szCs w:val="30"/>
          <w:shd w:val="clear" w:color="auto" w:fill="FFFFFF"/>
        </w:rPr>
        <w:t>授权《食经》杂志负责具体组织获推荐的产品及其生产企业的宣传工作。</w:t>
      </w:r>
    </w:p>
    <w:p>
      <w:pPr>
        <w:pStyle w:val="4"/>
        <w:spacing w:beforeLines="100" w:afterLines="100" w:line="360" w:lineRule="auto"/>
        <w:jc w:val="center"/>
        <w:rPr>
          <w:rFonts w:ascii="黑体" w:hAnsi="黑体" w:eastAsia="黑体"/>
          <w:bCs/>
          <w:color w:val="000000" w:themeColor="text1"/>
          <w:sz w:val="30"/>
          <w:szCs w:val="30"/>
        </w:rPr>
      </w:pPr>
      <w:r>
        <w:rPr>
          <w:rFonts w:hint="eastAsia" w:ascii="黑体" w:hAnsi="黑体" w:eastAsia="黑体"/>
          <w:bCs/>
          <w:color w:val="000000" w:themeColor="text1"/>
          <w:sz w:val="30"/>
          <w:szCs w:val="30"/>
        </w:rPr>
        <w:t>第五章  评价与推荐</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第十四条</w:t>
      </w:r>
      <w:r>
        <w:rPr>
          <w:rFonts w:hint="eastAsia" w:ascii="仿宋" w:hAnsi="仿宋" w:eastAsia="仿宋"/>
          <w:color w:val="000000" w:themeColor="text1"/>
          <w:sz w:val="30"/>
          <w:szCs w:val="30"/>
        </w:rPr>
        <w:t xml:space="preserve">  坚持公平、公正、公开及按规定程序科学评价的原则，广东省食品行业名牌产品评价、推荐不受任何组织或个人的干涉。</w:t>
      </w:r>
    </w:p>
    <w:p>
      <w:pPr>
        <w:pStyle w:val="4"/>
        <w:spacing w:line="360" w:lineRule="auto"/>
        <w:ind w:firstLine="602" w:firstLineChars="200"/>
        <w:rPr>
          <w:rFonts w:ascii="仿宋" w:hAnsi="仿宋" w:eastAsia="仿宋"/>
          <w:sz w:val="30"/>
          <w:szCs w:val="30"/>
        </w:rPr>
      </w:pPr>
      <w:r>
        <w:rPr>
          <w:rFonts w:hint="eastAsia" w:ascii="仿宋" w:hAnsi="仿宋" w:eastAsia="仿宋"/>
          <w:b/>
          <w:color w:val="000000" w:themeColor="text1"/>
          <w:sz w:val="30"/>
          <w:szCs w:val="30"/>
        </w:rPr>
        <w:t>第十五条</w:t>
      </w:r>
      <w:r>
        <w:rPr>
          <w:rFonts w:hint="eastAsia" w:ascii="仿宋" w:hAnsi="仿宋" w:eastAsia="仿宋"/>
          <w:color w:val="000000" w:themeColor="text1"/>
          <w:sz w:val="30"/>
          <w:szCs w:val="30"/>
        </w:rPr>
        <w:t xml:space="preserve">  评估中心根据当年申报产品数量、品类等情况，从专家库中选取适合的专家组成评价组。评价组</w:t>
      </w:r>
      <w:r>
        <w:rPr>
          <w:rFonts w:hint="eastAsia" w:ascii="仿宋" w:hAnsi="仿宋" w:eastAsia="仿宋"/>
          <w:sz w:val="30"/>
          <w:szCs w:val="30"/>
        </w:rPr>
        <w:t>专家需具备以下条件：</w:t>
      </w:r>
    </w:p>
    <w:p>
      <w:pPr>
        <w:pStyle w:val="4"/>
        <w:spacing w:line="360" w:lineRule="auto"/>
        <w:ind w:firstLine="600" w:firstLineChars="200"/>
        <w:rPr>
          <w:rFonts w:ascii="仿宋" w:hAnsi="仿宋" w:eastAsia="仿宋"/>
          <w:sz w:val="30"/>
          <w:szCs w:val="30"/>
        </w:rPr>
      </w:pPr>
      <w:r>
        <w:rPr>
          <w:rFonts w:hint="eastAsia" w:ascii="仿宋" w:hAnsi="仿宋" w:eastAsia="仿宋"/>
          <w:sz w:val="30"/>
          <w:szCs w:val="30"/>
        </w:rPr>
        <w:t>（一）具有良好的职业道德和科学、客观、公正的专业精神；</w:t>
      </w:r>
    </w:p>
    <w:p>
      <w:pPr>
        <w:pStyle w:val="4"/>
        <w:spacing w:line="360" w:lineRule="auto"/>
        <w:ind w:firstLine="600" w:firstLineChars="200"/>
        <w:rPr>
          <w:rFonts w:ascii="仿宋" w:hAnsi="仿宋" w:eastAsia="仿宋"/>
          <w:sz w:val="30"/>
          <w:szCs w:val="30"/>
        </w:rPr>
      </w:pPr>
      <w:r>
        <w:rPr>
          <w:rFonts w:hint="eastAsia" w:ascii="仿宋" w:hAnsi="仿宋" w:eastAsia="仿宋"/>
          <w:sz w:val="30"/>
          <w:szCs w:val="30"/>
        </w:rPr>
        <w:t>（二）身体健康，具有从事食品相关技术评价工作的身体条件；</w:t>
      </w:r>
    </w:p>
    <w:p>
      <w:pPr>
        <w:pStyle w:val="4"/>
        <w:spacing w:line="360" w:lineRule="auto"/>
        <w:ind w:firstLine="600" w:firstLineChars="200"/>
        <w:rPr>
          <w:rFonts w:ascii="仿宋" w:hAnsi="仿宋" w:eastAsia="仿宋"/>
          <w:sz w:val="30"/>
          <w:szCs w:val="30"/>
        </w:rPr>
      </w:pPr>
      <w:r>
        <w:rPr>
          <w:rFonts w:hint="eastAsia" w:ascii="仿宋" w:hAnsi="仿宋" w:eastAsia="仿宋"/>
          <w:sz w:val="30"/>
          <w:szCs w:val="30"/>
        </w:rPr>
        <w:t>（三）从事食品行业生产、经营、科研等相关工作多年，经验丰富；</w:t>
      </w:r>
    </w:p>
    <w:p>
      <w:pPr>
        <w:pStyle w:val="4"/>
        <w:spacing w:line="360" w:lineRule="auto"/>
        <w:ind w:firstLine="600" w:firstLineChars="200"/>
        <w:rPr>
          <w:rFonts w:ascii="仿宋" w:hAnsi="仿宋" w:eastAsia="仿宋"/>
          <w:sz w:val="30"/>
          <w:szCs w:val="30"/>
        </w:rPr>
      </w:pPr>
      <w:r>
        <w:rPr>
          <w:rFonts w:hint="eastAsia" w:ascii="仿宋" w:hAnsi="仿宋" w:eastAsia="仿宋"/>
          <w:sz w:val="30"/>
          <w:szCs w:val="30"/>
        </w:rPr>
        <w:t>（四）具有中级以上职称资格或企事业技术部门以上负责人。</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 xml:space="preserve">第十六条  </w:t>
      </w:r>
      <w:r>
        <w:rPr>
          <w:rFonts w:hint="eastAsia" w:ascii="仿宋" w:hAnsi="仿宋" w:eastAsia="仿宋"/>
          <w:color w:val="000000" w:themeColor="text1"/>
          <w:sz w:val="30"/>
          <w:szCs w:val="30"/>
        </w:rPr>
        <w:t>评价方式主要以会议形式进行，必要时将进行现场核查确认，或由申报单位进行现场答辩。</w:t>
      </w:r>
    </w:p>
    <w:p>
      <w:pPr>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第十七条</w:t>
      </w:r>
      <w:r>
        <w:rPr>
          <w:rFonts w:hint="eastAsia" w:ascii="仿宋" w:hAnsi="仿宋" w:eastAsia="仿宋"/>
          <w:color w:val="000000" w:themeColor="text1"/>
          <w:sz w:val="30"/>
          <w:szCs w:val="30"/>
        </w:rPr>
        <w:t xml:space="preserve"> 名牌产品推荐工作实行非限额评价推荐制度。</w:t>
      </w:r>
    </w:p>
    <w:p>
      <w:pPr>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1、初审。</w:t>
      </w:r>
      <w:r>
        <w:rPr>
          <w:rFonts w:hint="eastAsia" w:ascii="仿宋" w:hAnsi="仿宋" w:eastAsia="仿宋"/>
          <w:color w:val="000000" w:themeColor="text1"/>
          <w:sz w:val="30"/>
          <w:szCs w:val="30"/>
        </w:rPr>
        <w:t>由协会各专业委员会对申报单位资格、守法经营情况以及申报资料的完整性、真实性、时效性、符合性等进行审查。符合要求的申报资料则提交专家组评价；资料不完整或错漏的则退回补充完善。若发现弄虚作假，则取消申报资格。</w:t>
      </w:r>
    </w:p>
    <w:p>
      <w:pPr>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2、专家组评价。</w:t>
      </w:r>
      <w:r>
        <w:rPr>
          <w:rFonts w:hint="eastAsia" w:ascii="仿宋" w:hAnsi="仿宋" w:eastAsia="仿宋"/>
          <w:color w:val="000000" w:themeColor="text1"/>
          <w:sz w:val="30"/>
          <w:szCs w:val="30"/>
        </w:rPr>
        <w:t>评价工作主要采用评价会形式，必要时辅以现场核查和申报单位答辩。</w:t>
      </w:r>
    </w:p>
    <w:p>
      <w:pPr>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专家根据申报材料，主要从产品经济指标（销售情况、利润、纳税额等）、</w:t>
      </w:r>
      <w:r>
        <w:rPr>
          <w:rFonts w:hint="eastAsia" w:ascii="仿宋" w:hAnsi="仿宋" w:eastAsia="仿宋" w:cs="宋体"/>
          <w:color w:val="000000" w:themeColor="text1"/>
          <w:kern w:val="0"/>
          <w:sz w:val="30"/>
          <w:szCs w:val="30"/>
        </w:rPr>
        <w:t>质量水平、品牌知名度、市场营销策略以及发展前景等方面，进行综合评价。</w:t>
      </w:r>
    </w:p>
    <w:p>
      <w:pPr>
        <w:widowControl/>
        <w:spacing w:line="360" w:lineRule="auto"/>
        <w:ind w:firstLine="640"/>
        <w:jc w:val="left"/>
        <w:rPr>
          <w:rFonts w:ascii="仿宋" w:hAnsi="仿宋" w:eastAsia="仿宋"/>
          <w:sz w:val="30"/>
          <w:szCs w:val="30"/>
        </w:rPr>
      </w:pPr>
      <w:r>
        <w:rPr>
          <w:rStyle w:val="12"/>
          <w:rFonts w:ascii="仿宋" w:hAnsi="仿宋" w:eastAsia="仿宋"/>
          <w:b/>
          <w:color w:val="000000" w:themeColor="text1"/>
          <w:sz w:val="30"/>
          <w:szCs w:val="30"/>
        </w:rPr>
        <w:t>第</w:t>
      </w:r>
      <w:r>
        <w:rPr>
          <w:rStyle w:val="12"/>
          <w:rFonts w:hint="eastAsia" w:ascii="仿宋" w:hAnsi="仿宋" w:eastAsia="仿宋"/>
          <w:b/>
          <w:color w:val="000000" w:themeColor="text1"/>
          <w:sz w:val="30"/>
          <w:szCs w:val="30"/>
        </w:rPr>
        <w:t>十八</w:t>
      </w:r>
      <w:r>
        <w:rPr>
          <w:rStyle w:val="12"/>
          <w:rFonts w:ascii="仿宋" w:hAnsi="仿宋" w:eastAsia="仿宋"/>
          <w:b/>
          <w:color w:val="000000" w:themeColor="text1"/>
          <w:sz w:val="30"/>
          <w:szCs w:val="30"/>
        </w:rPr>
        <w:t>条</w:t>
      </w:r>
      <w:r>
        <w:rPr>
          <w:rFonts w:hint="eastAsia" w:ascii="仿宋" w:hAnsi="仿宋" w:eastAsia="仿宋"/>
          <w:b/>
          <w:color w:val="000000" w:themeColor="text1"/>
          <w:sz w:val="30"/>
          <w:szCs w:val="30"/>
        </w:rPr>
        <w:t xml:space="preserve"> </w:t>
      </w:r>
      <w:r>
        <w:rPr>
          <w:rFonts w:hint="eastAsia" w:ascii="仿宋" w:hAnsi="仿宋" w:eastAsia="仿宋"/>
          <w:color w:val="000000" w:themeColor="text1"/>
          <w:sz w:val="30"/>
          <w:szCs w:val="30"/>
        </w:rPr>
        <w:t xml:space="preserve"> 评估中心将专家评价结果进行社会进行公示（7天）。</w:t>
      </w:r>
      <w:r>
        <w:rPr>
          <w:rFonts w:hint="eastAsia" w:ascii="仿宋" w:hAnsi="仿宋" w:eastAsia="仿宋"/>
          <w:sz w:val="30"/>
          <w:szCs w:val="30"/>
        </w:rPr>
        <w:t>公示期内，中共广东省食品医药行业纪律检查委员会接受来自社会的实名书面异议，并监督评估中心组织核查处理。</w:t>
      </w:r>
    </w:p>
    <w:p>
      <w:pPr>
        <w:widowControl/>
        <w:spacing w:line="360" w:lineRule="auto"/>
        <w:ind w:firstLine="640"/>
        <w:jc w:val="left"/>
        <w:rPr>
          <w:rFonts w:ascii="仿宋" w:hAnsi="仿宋" w:eastAsia="仿宋"/>
          <w:color w:val="000000" w:themeColor="text1"/>
          <w:sz w:val="30"/>
          <w:szCs w:val="30"/>
        </w:rPr>
      </w:pPr>
      <w:r>
        <w:rPr>
          <w:rFonts w:hint="eastAsia" w:ascii="仿宋" w:hAnsi="仿宋" w:eastAsia="仿宋"/>
          <w:b/>
          <w:color w:val="000000" w:themeColor="text1"/>
          <w:sz w:val="30"/>
          <w:szCs w:val="30"/>
        </w:rPr>
        <w:t xml:space="preserve">第十九条  </w:t>
      </w:r>
      <w:r>
        <w:rPr>
          <w:rStyle w:val="12"/>
          <w:rFonts w:hint="eastAsia" w:ascii="仿宋" w:hAnsi="仿宋" w:eastAsia="仿宋"/>
          <w:color w:val="000000" w:themeColor="text1"/>
          <w:sz w:val="30"/>
          <w:szCs w:val="30"/>
        </w:rPr>
        <w:t>公示结束后，评价结果</w:t>
      </w:r>
      <w:r>
        <w:rPr>
          <w:rFonts w:hint="eastAsia" w:ascii="仿宋" w:hAnsi="仿宋" w:eastAsia="仿宋"/>
          <w:color w:val="000000" w:themeColor="text1"/>
          <w:sz w:val="30"/>
          <w:szCs w:val="30"/>
        </w:rPr>
        <w:t>提交推荐委员会审议，最后由协会进行发布。</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 xml:space="preserve">第二十条  </w:t>
      </w:r>
      <w:r>
        <w:rPr>
          <w:rFonts w:hint="eastAsia" w:ascii="仿宋" w:hAnsi="仿宋" w:eastAsia="仿宋"/>
          <w:color w:val="000000" w:themeColor="text1"/>
          <w:sz w:val="30"/>
          <w:szCs w:val="30"/>
        </w:rPr>
        <w:t>协会向</w:t>
      </w:r>
      <w:r>
        <w:rPr>
          <w:rStyle w:val="12"/>
          <w:rFonts w:hint="eastAsia" w:ascii="仿宋" w:hAnsi="仿宋" w:eastAsia="仿宋"/>
          <w:color w:val="000000" w:themeColor="text1"/>
          <w:sz w:val="30"/>
          <w:szCs w:val="30"/>
        </w:rPr>
        <w:t>获评</w:t>
      </w:r>
      <w:r>
        <w:rPr>
          <w:rFonts w:hint="eastAsia" w:ascii="仿宋" w:hAnsi="仿宋" w:eastAsia="仿宋"/>
          <w:color w:val="000000" w:themeColor="text1"/>
          <w:sz w:val="30"/>
          <w:szCs w:val="30"/>
        </w:rPr>
        <w:t>单位</w:t>
      </w:r>
      <w:r>
        <w:rPr>
          <w:rStyle w:val="12"/>
          <w:rFonts w:ascii="仿宋" w:hAnsi="仿宋" w:eastAsia="仿宋"/>
          <w:color w:val="000000" w:themeColor="text1"/>
          <w:sz w:val="30"/>
          <w:szCs w:val="30"/>
        </w:rPr>
        <w:t>颁发</w:t>
      </w:r>
      <w:r>
        <w:rPr>
          <w:rStyle w:val="12"/>
          <w:rFonts w:hint="eastAsia" w:ascii="仿宋" w:hAnsi="仿宋" w:eastAsia="仿宋"/>
          <w:color w:val="000000" w:themeColor="text1"/>
          <w:sz w:val="30"/>
          <w:szCs w:val="30"/>
        </w:rPr>
        <w:t>名牌产品称号牌匾和</w:t>
      </w:r>
      <w:r>
        <w:rPr>
          <w:rStyle w:val="12"/>
          <w:rFonts w:ascii="仿宋" w:hAnsi="仿宋" w:eastAsia="仿宋"/>
          <w:color w:val="000000" w:themeColor="text1"/>
          <w:sz w:val="30"/>
          <w:szCs w:val="30"/>
        </w:rPr>
        <w:t>证书</w:t>
      </w:r>
      <w:r>
        <w:rPr>
          <w:rStyle w:val="12"/>
          <w:rFonts w:hint="eastAsia" w:ascii="仿宋" w:hAnsi="仿宋" w:eastAsia="仿宋"/>
          <w:color w:val="000000" w:themeColor="text1"/>
          <w:sz w:val="30"/>
          <w:szCs w:val="30"/>
        </w:rPr>
        <w:t>，并进行宣传推广</w:t>
      </w:r>
      <w:r>
        <w:rPr>
          <w:rFonts w:hint="eastAsia" w:ascii="仿宋" w:hAnsi="仿宋" w:eastAsia="仿宋"/>
          <w:color w:val="000000" w:themeColor="text1"/>
          <w:sz w:val="30"/>
          <w:szCs w:val="30"/>
        </w:rPr>
        <w:t>。</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 xml:space="preserve">第二十一条  </w:t>
      </w:r>
      <w:r>
        <w:rPr>
          <w:rFonts w:hint="eastAsia" w:ascii="仿宋" w:hAnsi="仿宋" w:eastAsia="仿宋"/>
          <w:color w:val="000000" w:themeColor="text1"/>
          <w:sz w:val="30"/>
          <w:szCs w:val="30"/>
        </w:rPr>
        <w:t>“广东省食品行业名牌产品”称号有效期三年。有效期满前6个月内，按本办法申请延展评价。有效期满未申请续展或续展评价未通过，则撤销称号。</w:t>
      </w:r>
    </w:p>
    <w:p>
      <w:pPr>
        <w:pStyle w:val="4"/>
        <w:spacing w:beforeLines="100" w:afterLines="100" w:line="360" w:lineRule="auto"/>
        <w:jc w:val="center"/>
        <w:rPr>
          <w:rFonts w:ascii="黑体" w:hAnsi="黑体" w:eastAsia="黑体"/>
          <w:bCs/>
          <w:color w:val="000000" w:themeColor="text1"/>
          <w:sz w:val="30"/>
          <w:szCs w:val="30"/>
        </w:rPr>
      </w:pPr>
      <w:r>
        <w:rPr>
          <w:rFonts w:hint="eastAsia" w:ascii="黑体" w:hAnsi="黑体" w:eastAsia="黑体"/>
          <w:bCs/>
          <w:color w:val="000000" w:themeColor="text1"/>
          <w:sz w:val="30"/>
          <w:szCs w:val="30"/>
        </w:rPr>
        <w:t>第六章  异议处理</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第二十二条</w:t>
      </w:r>
      <w:r>
        <w:rPr>
          <w:rFonts w:hint="eastAsia" w:ascii="仿宋" w:hAnsi="仿宋" w:eastAsia="仿宋"/>
          <w:color w:val="000000" w:themeColor="text1"/>
          <w:sz w:val="30"/>
          <w:szCs w:val="30"/>
        </w:rPr>
        <w:t xml:space="preserve">  对已公布的名牌产品，自公布之日起一周内为异议期。如有异议，则以书面形式上报协会裁决。超过异议期提出异议的，一般不予受理（弄虚作假、剽窃成果或有原则性错误的除外）。</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第二十三条</w:t>
      </w:r>
      <w:r>
        <w:rPr>
          <w:rFonts w:hint="eastAsia" w:ascii="仿宋" w:hAnsi="仿宋" w:eastAsia="仿宋"/>
          <w:color w:val="000000" w:themeColor="text1"/>
          <w:sz w:val="30"/>
          <w:szCs w:val="30"/>
        </w:rPr>
        <w:t xml:space="preserve">  除第二十一条规定外，有下列情形之一的，推荐委员会可以暂停或者撤销广东省食品行业名牌产品称号，并通过协会网站（南方食品医药网）公告：</w:t>
      </w:r>
    </w:p>
    <w:p>
      <w:pPr>
        <w:pStyle w:val="4"/>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1.产品质量下降，消费者反映强烈的；</w:t>
      </w:r>
    </w:p>
    <w:p>
      <w:pPr>
        <w:pStyle w:val="4"/>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2.发生重大质量事故或在政府部门抽查中发现不合格的；</w:t>
      </w:r>
    </w:p>
    <w:p>
      <w:pPr>
        <w:pStyle w:val="4"/>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3.质量保证体系运行出现重大问题的；</w:t>
      </w:r>
    </w:p>
    <w:p>
      <w:pPr>
        <w:pStyle w:val="4"/>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4.严重违反法律、法规、规章规定的；</w:t>
      </w:r>
    </w:p>
    <w:p>
      <w:pPr>
        <w:pStyle w:val="4"/>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5.弄虚作假骗取广东省食品行业名牌产品称号的。</w:t>
      </w:r>
    </w:p>
    <w:p>
      <w:pPr>
        <w:pStyle w:val="4"/>
        <w:spacing w:beforeLines="100" w:afterLines="100" w:line="360" w:lineRule="auto"/>
        <w:jc w:val="center"/>
        <w:rPr>
          <w:rFonts w:ascii="黑体" w:hAnsi="黑体" w:eastAsia="黑体"/>
          <w:bCs/>
          <w:color w:val="000000" w:themeColor="text1"/>
          <w:sz w:val="30"/>
          <w:szCs w:val="30"/>
        </w:rPr>
      </w:pPr>
      <w:r>
        <w:rPr>
          <w:rFonts w:hint="eastAsia" w:ascii="黑体" w:hAnsi="黑体" w:eastAsia="黑体"/>
          <w:bCs/>
          <w:color w:val="000000" w:themeColor="text1"/>
          <w:sz w:val="30"/>
          <w:szCs w:val="30"/>
        </w:rPr>
        <w:t>第七章  附   则</w:t>
      </w:r>
    </w:p>
    <w:p>
      <w:pPr>
        <w:spacing w:line="360" w:lineRule="auto"/>
        <w:ind w:firstLine="590" w:firstLineChars="196"/>
        <w:rPr>
          <w:rFonts w:ascii="仿宋" w:hAnsi="仿宋" w:eastAsia="仿宋"/>
          <w:color w:val="000000" w:themeColor="text1"/>
          <w:sz w:val="30"/>
          <w:szCs w:val="30"/>
        </w:rPr>
      </w:pPr>
      <w:r>
        <w:rPr>
          <w:rFonts w:hint="eastAsia" w:ascii="仿宋" w:hAnsi="仿宋" w:eastAsia="仿宋"/>
          <w:b/>
          <w:color w:val="000000" w:themeColor="text1"/>
          <w:sz w:val="30"/>
          <w:szCs w:val="30"/>
        </w:rPr>
        <w:t xml:space="preserve">第二十四条 </w:t>
      </w:r>
      <w:r>
        <w:rPr>
          <w:rFonts w:hint="eastAsia" w:ascii="仿宋" w:hAnsi="仿宋" w:eastAsia="仿宋"/>
          <w:color w:val="000000" w:themeColor="text1"/>
          <w:sz w:val="30"/>
          <w:szCs w:val="30"/>
        </w:rPr>
        <w:t>协会</w:t>
      </w:r>
      <w:r>
        <w:rPr>
          <w:rFonts w:hint="eastAsia" w:ascii="仿宋" w:hAnsi="仿宋" w:eastAsia="仿宋"/>
          <w:b/>
          <w:color w:val="000000" w:themeColor="text1"/>
          <w:sz w:val="30"/>
          <w:szCs w:val="30"/>
        </w:rPr>
        <w:t>、</w:t>
      </w:r>
      <w:r>
        <w:rPr>
          <w:rFonts w:hint="eastAsia" w:ascii="仿宋" w:hAnsi="仿宋" w:eastAsia="仿宋"/>
          <w:color w:val="000000" w:themeColor="text1"/>
          <w:sz w:val="30"/>
          <w:szCs w:val="30"/>
        </w:rPr>
        <w:t>评估中心相关人员及评价组专家应严格遵守以下工作纪律：</w:t>
      </w:r>
    </w:p>
    <w:p>
      <w:pPr>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（一）严格遵守保密纪律，不泄露申报单位资料、专家组成员信息、评价情况等。不对外接受有关评价情况的查询。</w:t>
      </w:r>
    </w:p>
    <w:p>
      <w:pPr>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（二）准时参加评价会议，并按程序进行评价工作。</w:t>
      </w:r>
    </w:p>
    <w:p>
      <w:pPr>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（三）坚持客观、公正、准确的评价原则，认真履行职责，不得徇私、放宽标准以及出现其他有碍公正评价的行为。</w:t>
      </w:r>
    </w:p>
    <w:p>
      <w:pPr>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shd w:val="clear" w:color="auto" w:fill="FFFFFF"/>
        </w:rPr>
        <w:t>（四）与申报企业有直接关系的专家应回避。</w:t>
      </w:r>
    </w:p>
    <w:p>
      <w:pPr>
        <w:spacing w:line="360" w:lineRule="auto"/>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（五）自觉接受监督。</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 xml:space="preserve">第二十五条 </w:t>
      </w:r>
      <w:r>
        <w:rPr>
          <w:rFonts w:hint="eastAsia" w:ascii="仿宋" w:hAnsi="仿宋" w:eastAsia="仿宋"/>
          <w:sz w:val="30"/>
          <w:szCs w:val="30"/>
        </w:rPr>
        <w:t>中共广东省食品医药行业纪律检查委员会</w:t>
      </w:r>
      <w:r>
        <w:rPr>
          <w:rFonts w:hint="eastAsia" w:ascii="仿宋" w:hAnsi="仿宋" w:eastAsia="仿宋"/>
          <w:color w:val="000000" w:themeColor="text1"/>
          <w:sz w:val="30"/>
          <w:szCs w:val="30"/>
        </w:rPr>
        <w:t>负责推荐工作全过程的监督，确保合法合规。</w:t>
      </w:r>
    </w:p>
    <w:p>
      <w:pPr>
        <w:pStyle w:val="4"/>
        <w:spacing w:line="360" w:lineRule="auto"/>
        <w:ind w:firstLine="602" w:firstLineChars="200"/>
        <w:rPr>
          <w:rFonts w:ascii="仿宋" w:hAnsi="仿宋" w:eastAsia="仿宋"/>
          <w:color w:val="000000" w:themeColor="text1"/>
          <w:sz w:val="30"/>
          <w:szCs w:val="30"/>
        </w:rPr>
      </w:pPr>
      <w:r>
        <w:rPr>
          <w:rFonts w:hint="eastAsia" w:ascii="仿宋" w:hAnsi="仿宋" w:eastAsia="仿宋"/>
          <w:b/>
          <w:color w:val="000000" w:themeColor="text1"/>
          <w:sz w:val="30"/>
          <w:szCs w:val="30"/>
        </w:rPr>
        <w:t xml:space="preserve">第二十六条  </w:t>
      </w:r>
      <w:r>
        <w:rPr>
          <w:rFonts w:hint="eastAsia" w:ascii="仿宋" w:hAnsi="仿宋" w:eastAsia="仿宋"/>
          <w:color w:val="000000" w:themeColor="text1"/>
          <w:sz w:val="30"/>
          <w:szCs w:val="30"/>
        </w:rPr>
        <w:t>本办法由广东省食品行业协会负责解释。</w:t>
      </w:r>
    </w:p>
    <w:p>
      <w:pPr>
        <w:pStyle w:val="4"/>
        <w:spacing w:line="360" w:lineRule="auto"/>
        <w:ind w:firstLine="602" w:firstLineChars="200"/>
        <w:rPr>
          <w:rFonts w:ascii="Times New Roman" w:hAnsi="Times New Roman" w:eastAsia="仿宋_GB2312"/>
          <w:color w:val="000000" w:themeColor="text1"/>
          <w:sz w:val="30"/>
          <w:szCs w:val="30"/>
        </w:rPr>
      </w:pPr>
      <w:r>
        <w:rPr>
          <w:rFonts w:hint="eastAsia" w:ascii="仿宋" w:hAnsi="仿宋" w:eastAsia="仿宋"/>
          <w:b/>
          <w:color w:val="000000" w:themeColor="text1"/>
          <w:sz w:val="30"/>
          <w:szCs w:val="30"/>
        </w:rPr>
        <w:t xml:space="preserve">第二十七条  </w:t>
      </w:r>
      <w:r>
        <w:rPr>
          <w:rFonts w:hint="eastAsia" w:ascii="仿宋" w:hAnsi="仿宋" w:eastAsia="仿宋"/>
          <w:color w:val="000000" w:themeColor="text1"/>
          <w:sz w:val="30"/>
          <w:szCs w:val="30"/>
        </w:rPr>
        <w:t>本办法自发布之日起实施。</w:t>
      </w:r>
    </w:p>
    <w:sectPr>
      <w:footerReference r:id="rId3" w:type="default"/>
      <w:pgSz w:w="11906" w:h="16838"/>
      <w:pgMar w:top="1418" w:right="1474" w:bottom="141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5</w:t>
    </w:r>
    <w:r>
      <w:rPr>
        <w:lang w:val="zh-C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94BFA"/>
    <w:rsid w:val="00002171"/>
    <w:rsid w:val="0002053E"/>
    <w:rsid w:val="00021D2B"/>
    <w:rsid w:val="00022496"/>
    <w:rsid w:val="000361CE"/>
    <w:rsid w:val="00047839"/>
    <w:rsid w:val="000478DA"/>
    <w:rsid w:val="000504BD"/>
    <w:rsid w:val="00056846"/>
    <w:rsid w:val="000617D8"/>
    <w:rsid w:val="000635D7"/>
    <w:rsid w:val="00074716"/>
    <w:rsid w:val="00076307"/>
    <w:rsid w:val="000875CD"/>
    <w:rsid w:val="00093D8C"/>
    <w:rsid w:val="000A0AD6"/>
    <w:rsid w:val="000B14CD"/>
    <w:rsid w:val="000C534E"/>
    <w:rsid w:val="000C67B1"/>
    <w:rsid w:val="000D3442"/>
    <w:rsid w:val="000E67DF"/>
    <w:rsid w:val="000F1F30"/>
    <w:rsid w:val="001042A8"/>
    <w:rsid w:val="00110D54"/>
    <w:rsid w:val="0011459D"/>
    <w:rsid w:val="00126FAC"/>
    <w:rsid w:val="0013085D"/>
    <w:rsid w:val="0013483E"/>
    <w:rsid w:val="00137429"/>
    <w:rsid w:val="0014062D"/>
    <w:rsid w:val="00150276"/>
    <w:rsid w:val="00154AC2"/>
    <w:rsid w:val="001562FB"/>
    <w:rsid w:val="001640DB"/>
    <w:rsid w:val="00167C3E"/>
    <w:rsid w:val="001720E4"/>
    <w:rsid w:val="001739D2"/>
    <w:rsid w:val="00184F17"/>
    <w:rsid w:val="001A6491"/>
    <w:rsid w:val="001B326B"/>
    <w:rsid w:val="001B4BB2"/>
    <w:rsid w:val="001C0B3F"/>
    <w:rsid w:val="001C0DB9"/>
    <w:rsid w:val="001C6292"/>
    <w:rsid w:val="001D0982"/>
    <w:rsid w:val="001F23E3"/>
    <w:rsid w:val="001F6851"/>
    <w:rsid w:val="00201AEF"/>
    <w:rsid w:val="0020522F"/>
    <w:rsid w:val="00207B71"/>
    <w:rsid w:val="00214728"/>
    <w:rsid w:val="00226CC0"/>
    <w:rsid w:val="002305F8"/>
    <w:rsid w:val="002345FC"/>
    <w:rsid w:val="00265A9F"/>
    <w:rsid w:val="0027639D"/>
    <w:rsid w:val="00293AFB"/>
    <w:rsid w:val="0029500F"/>
    <w:rsid w:val="002968FA"/>
    <w:rsid w:val="002A79B2"/>
    <w:rsid w:val="002C3D34"/>
    <w:rsid w:val="002F23EF"/>
    <w:rsid w:val="0030557E"/>
    <w:rsid w:val="00315253"/>
    <w:rsid w:val="0037015E"/>
    <w:rsid w:val="003804A4"/>
    <w:rsid w:val="003818BA"/>
    <w:rsid w:val="00395D0D"/>
    <w:rsid w:val="003968C3"/>
    <w:rsid w:val="003A018F"/>
    <w:rsid w:val="003A2427"/>
    <w:rsid w:val="003A4786"/>
    <w:rsid w:val="003A5807"/>
    <w:rsid w:val="003B79C7"/>
    <w:rsid w:val="003C3FD2"/>
    <w:rsid w:val="003D0050"/>
    <w:rsid w:val="003D6B8F"/>
    <w:rsid w:val="003F23E4"/>
    <w:rsid w:val="003F2669"/>
    <w:rsid w:val="003F55A8"/>
    <w:rsid w:val="003F7879"/>
    <w:rsid w:val="00403982"/>
    <w:rsid w:val="00412FBC"/>
    <w:rsid w:val="004203DF"/>
    <w:rsid w:val="004300F3"/>
    <w:rsid w:val="00434CA8"/>
    <w:rsid w:val="0044797E"/>
    <w:rsid w:val="00451419"/>
    <w:rsid w:val="00460D19"/>
    <w:rsid w:val="004722A9"/>
    <w:rsid w:val="0048058D"/>
    <w:rsid w:val="0049061C"/>
    <w:rsid w:val="004930A6"/>
    <w:rsid w:val="0049453E"/>
    <w:rsid w:val="004C0624"/>
    <w:rsid w:val="004C1406"/>
    <w:rsid w:val="004C363F"/>
    <w:rsid w:val="004C7F5A"/>
    <w:rsid w:val="004F7574"/>
    <w:rsid w:val="00504346"/>
    <w:rsid w:val="0051521D"/>
    <w:rsid w:val="0051550D"/>
    <w:rsid w:val="005251DF"/>
    <w:rsid w:val="00544B7E"/>
    <w:rsid w:val="005468F9"/>
    <w:rsid w:val="00560188"/>
    <w:rsid w:val="00562AFE"/>
    <w:rsid w:val="00565EC5"/>
    <w:rsid w:val="0057013A"/>
    <w:rsid w:val="0057225F"/>
    <w:rsid w:val="0057480F"/>
    <w:rsid w:val="00580104"/>
    <w:rsid w:val="00582E2C"/>
    <w:rsid w:val="00583A66"/>
    <w:rsid w:val="0059288A"/>
    <w:rsid w:val="00594BAC"/>
    <w:rsid w:val="00594BFA"/>
    <w:rsid w:val="00595FE6"/>
    <w:rsid w:val="005A5D56"/>
    <w:rsid w:val="005A78DA"/>
    <w:rsid w:val="005C75EF"/>
    <w:rsid w:val="005E4F91"/>
    <w:rsid w:val="005F5698"/>
    <w:rsid w:val="005F5AF9"/>
    <w:rsid w:val="005F5B6E"/>
    <w:rsid w:val="00606D22"/>
    <w:rsid w:val="006230EE"/>
    <w:rsid w:val="00624AFF"/>
    <w:rsid w:val="00632A93"/>
    <w:rsid w:val="00640653"/>
    <w:rsid w:val="00641091"/>
    <w:rsid w:val="00641FD6"/>
    <w:rsid w:val="00646224"/>
    <w:rsid w:val="00647CF5"/>
    <w:rsid w:val="006539F5"/>
    <w:rsid w:val="00682D98"/>
    <w:rsid w:val="006832E0"/>
    <w:rsid w:val="00685482"/>
    <w:rsid w:val="006A537F"/>
    <w:rsid w:val="006B3565"/>
    <w:rsid w:val="006B4E29"/>
    <w:rsid w:val="006C3D9C"/>
    <w:rsid w:val="006C782F"/>
    <w:rsid w:val="006D5143"/>
    <w:rsid w:val="006E48F3"/>
    <w:rsid w:val="006E73D3"/>
    <w:rsid w:val="006F57CE"/>
    <w:rsid w:val="006F5BD5"/>
    <w:rsid w:val="0070420E"/>
    <w:rsid w:val="007048DE"/>
    <w:rsid w:val="00705575"/>
    <w:rsid w:val="00714F44"/>
    <w:rsid w:val="007157AD"/>
    <w:rsid w:val="0072670F"/>
    <w:rsid w:val="007345BE"/>
    <w:rsid w:val="00736DA1"/>
    <w:rsid w:val="00737CAA"/>
    <w:rsid w:val="00740048"/>
    <w:rsid w:val="00741F37"/>
    <w:rsid w:val="00770F3F"/>
    <w:rsid w:val="0077436B"/>
    <w:rsid w:val="007840FB"/>
    <w:rsid w:val="00791604"/>
    <w:rsid w:val="007B1038"/>
    <w:rsid w:val="007B2278"/>
    <w:rsid w:val="007B7FD1"/>
    <w:rsid w:val="007D7C84"/>
    <w:rsid w:val="007F1FBF"/>
    <w:rsid w:val="007F24DD"/>
    <w:rsid w:val="007F744B"/>
    <w:rsid w:val="00801B17"/>
    <w:rsid w:val="00817BED"/>
    <w:rsid w:val="00822273"/>
    <w:rsid w:val="00823FC1"/>
    <w:rsid w:val="008302A3"/>
    <w:rsid w:val="0083147F"/>
    <w:rsid w:val="00835A6E"/>
    <w:rsid w:val="00835D6B"/>
    <w:rsid w:val="00845AF9"/>
    <w:rsid w:val="008652DA"/>
    <w:rsid w:val="00866E2E"/>
    <w:rsid w:val="00884ED6"/>
    <w:rsid w:val="008C75D5"/>
    <w:rsid w:val="008D6163"/>
    <w:rsid w:val="008E3B4E"/>
    <w:rsid w:val="008E681C"/>
    <w:rsid w:val="008F3FDC"/>
    <w:rsid w:val="00903B2C"/>
    <w:rsid w:val="00907978"/>
    <w:rsid w:val="009127B8"/>
    <w:rsid w:val="0093345B"/>
    <w:rsid w:val="00934F50"/>
    <w:rsid w:val="00936267"/>
    <w:rsid w:val="009417A9"/>
    <w:rsid w:val="00963335"/>
    <w:rsid w:val="0097694B"/>
    <w:rsid w:val="009922F2"/>
    <w:rsid w:val="00992E89"/>
    <w:rsid w:val="009B571A"/>
    <w:rsid w:val="009D102C"/>
    <w:rsid w:val="009D3123"/>
    <w:rsid w:val="009D6BB8"/>
    <w:rsid w:val="009E7890"/>
    <w:rsid w:val="009F03E8"/>
    <w:rsid w:val="009F5421"/>
    <w:rsid w:val="00A1411E"/>
    <w:rsid w:val="00A20A3D"/>
    <w:rsid w:val="00A212DB"/>
    <w:rsid w:val="00A30DCA"/>
    <w:rsid w:val="00A30FEA"/>
    <w:rsid w:val="00A3724D"/>
    <w:rsid w:val="00A40559"/>
    <w:rsid w:val="00A456D5"/>
    <w:rsid w:val="00A50298"/>
    <w:rsid w:val="00A51393"/>
    <w:rsid w:val="00A51FF7"/>
    <w:rsid w:val="00A547F0"/>
    <w:rsid w:val="00A5550D"/>
    <w:rsid w:val="00A621B6"/>
    <w:rsid w:val="00A659B2"/>
    <w:rsid w:val="00A70C9C"/>
    <w:rsid w:val="00A7232B"/>
    <w:rsid w:val="00A768DC"/>
    <w:rsid w:val="00A8325B"/>
    <w:rsid w:val="00A946CA"/>
    <w:rsid w:val="00AB0F90"/>
    <w:rsid w:val="00AB2206"/>
    <w:rsid w:val="00AB4FE6"/>
    <w:rsid w:val="00AC7251"/>
    <w:rsid w:val="00AD1872"/>
    <w:rsid w:val="00AD3E5F"/>
    <w:rsid w:val="00AE0F2E"/>
    <w:rsid w:val="00AE5B4A"/>
    <w:rsid w:val="00AE766D"/>
    <w:rsid w:val="00AF1B9D"/>
    <w:rsid w:val="00AF44D5"/>
    <w:rsid w:val="00B110F0"/>
    <w:rsid w:val="00B17F16"/>
    <w:rsid w:val="00B22013"/>
    <w:rsid w:val="00B33B04"/>
    <w:rsid w:val="00B447D0"/>
    <w:rsid w:val="00B71E31"/>
    <w:rsid w:val="00B7488D"/>
    <w:rsid w:val="00B75D4C"/>
    <w:rsid w:val="00B77102"/>
    <w:rsid w:val="00B83E5A"/>
    <w:rsid w:val="00BA52F1"/>
    <w:rsid w:val="00BB1411"/>
    <w:rsid w:val="00BB40E3"/>
    <w:rsid w:val="00BC1764"/>
    <w:rsid w:val="00BC1F6E"/>
    <w:rsid w:val="00BD53EB"/>
    <w:rsid w:val="00C00E73"/>
    <w:rsid w:val="00C2131F"/>
    <w:rsid w:val="00C24232"/>
    <w:rsid w:val="00C2540D"/>
    <w:rsid w:val="00C26DDA"/>
    <w:rsid w:val="00C270F2"/>
    <w:rsid w:val="00C366D8"/>
    <w:rsid w:val="00C4200B"/>
    <w:rsid w:val="00C4305F"/>
    <w:rsid w:val="00C43BF6"/>
    <w:rsid w:val="00C5120E"/>
    <w:rsid w:val="00C57732"/>
    <w:rsid w:val="00C6385A"/>
    <w:rsid w:val="00C81F26"/>
    <w:rsid w:val="00C8411A"/>
    <w:rsid w:val="00C877A1"/>
    <w:rsid w:val="00C96D3F"/>
    <w:rsid w:val="00CA13DC"/>
    <w:rsid w:val="00CA5697"/>
    <w:rsid w:val="00CB0BB6"/>
    <w:rsid w:val="00CC2489"/>
    <w:rsid w:val="00CC35A5"/>
    <w:rsid w:val="00CE09D0"/>
    <w:rsid w:val="00CE2A06"/>
    <w:rsid w:val="00CF0447"/>
    <w:rsid w:val="00CF1E2F"/>
    <w:rsid w:val="00CF5528"/>
    <w:rsid w:val="00D02363"/>
    <w:rsid w:val="00D03530"/>
    <w:rsid w:val="00D178EA"/>
    <w:rsid w:val="00D242DD"/>
    <w:rsid w:val="00D36923"/>
    <w:rsid w:val="00D424B0"/>
    <w:rsid w:val="00D4416C"/>
    <w:rsid w:val="00D53FD3"/>
    <w:rsid w:val="00D54249"/>
    <w:rsid w:val="00D5431D"/>
    <w:rsid w:val="00D734B3"/>
    <w:rsid w:val="00D8142B"/>
    <w:rsid w:val="00D96CCF"/>
    <w:rsid w:val="00DA2F65"/>
    <w:rsid w:val="00DA7949"/>
    <w:rsid w:val="00DE594D"/>
    <w:rsid w:val="00DF3521"/>
    <w:rsid w:val="00DF5116"/>
    <w:rsid w:val="00DF5E52"/>
    <w:rsid w:val="00E02FC4"/>
    <w:rsid w:val="00E124FC"/>
    <w:rsid w:val="00E126BB"/>
    <w:rsid w:val="00E30A3F"/>
    <w:rsid w:val="00E33019"/>
    <w:rsid w:val="00E463ED"/>
    <w:rsid w:val="00E46BC2"/>
    <w:rsid w:val="00E53895"/>
    <w:rsid w:val="00E556E6"/>
    <w:rsid w:val="00E56B3D"/>
    <w:rsid w:val="00E613A6"/>
    <w:rsid w:val="00E64131"/>
    <w:rsid w:val="00E7124A"/>
    <w:rsid w:val="00E7266F"/>
    <w:rsid w:val="00E73001"/>
    <w:rsid w:val="00E8513E"/>
    <w:rsid w:val="00E942CA"/>
    <w:rsid w:val="00EA19A0"/>
    <w:rsid w:val="00EA51DA"/>
    <w:rsid w:val="00EB446A"/>
    <w:rsid w:val="00EC1834"/>
    <w:rsid w:val="00EC1F0B"/>
    <w:rsid w:val="00ED4178"/>
    <w:rsid w:val="00ED562F"/>
    <w:rsid w:val="00ED6A74"/>
    <w:rsid w:val="00EE03B0"/>
    <w:rsid w:val="00EE65DB"/>
    <w:rsid w:val="00EF6179"/>
    <w:rsid w:val="00EF71B7"/>
    <w:rsid w:val="00F00B3C"/>
    <w:rsid w:val="00F039EE"/>
    <w:rsid w:val="00F103F1"/>
    <w:rsid w:val="00F10DA3"/>
    <w:rsid w:val="00F228A7"/>
    <w:rsid w:val="00F53710"/>
    <w:rsid w:val="00F54D9E"/>
    <w:rsid w:val="00F57ADB"/>
    <w:rsid w:val="00F65093"/>
    <w:rsid w:val="00F7099F"/>
    <w:rsid w:val="00F71A12"/>
    <w:rsid w:val="00F71BEA"/>
    <w:rsid w:val="00F72C81"/>
    <w:rsid w:val="00F77067"/>
    <w:rsid w:val="00F866EF"/>
    <w:rsid w:val="00F87518"/>
    <w:rsid w:val="00F933E8"/>
    <w:rsid w:val="00F962D7"/>
    <w:rsid w:val="00FA0B9A"/>
    <w:rsid w:val="00FD3886"/>
    <w:rsid w:val="00FE7BD1"/>
    <w:rsid w:val="00FF0D24"/>
    <w:rsid w:val="00FF5572"/>
    <w:rsid w:val="00FF6EC7"/>
    <w:rsid w:val="0E672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qFormat/>
    <w:uiPriority w:val="0"/>
    <w:pPr>
      <w:spacing w:after="120"/>
    </w:pPr>
  </w:style>
  <w:style w:type="paragraph" w:styleId="3">
    <w:name w:val="Body Text Indent"/>
    <w:basedOn w:val="1"/>
    <w:uiPriority w:val="0"/>
    <w:pPr>
      <w:spacing w:after="120"/>
      <w:ind w:left="420" w:leftChars="200"/>
    </w:pPr>
  </w:style>
  <w:style w:type="paragraph" w:styleId="4">
    <w:name w:val="Plain Text"/>
    <w:basedOn w:val="1"/>
    <w:link w:val="18"/>
    <w:qFormat/>
    <w:uiPriority w:val="0"/>
    <w:rPr>
      <w:rFonts w:ascii="宋体" w:hAnsi="Courier New" w:cs="Courier New"/>
      <w:szCs w:val="21"/>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10">
    <w:name w:val="Hyperlink"/>
    <w:unhideWhenUsed/>
    <w:qFormat/>
    <w:uiPriority w:val="99"/>
    <w:rPr>
      <w:color w:val="0000FF"/>
      <w:u w:val="single"/>
    </w:rPr>
  </w:style>
  <w:style w:type="paragraph" w:customStyle="1" w:styleId="11">
    <w:name w:val="pp"/>
    <w:basedOn w:val="1"/>
    <w:uiPriority w:val="0"/>
    <w:pPr>
      <w:widowControl/>
      <w:spacing w:before="100" w:beforeAutospacing="1" w:after="100" w:afterAutospacing="1" w:line="320" w:lineRule="atLeast"/>
      <w:ind w:firstLine="480"/>
      <w:jc w:val="left"/>
    </w:pPr>
    <w:rPr>
      <w:rFonts w:ascii="宋体" w:hAnsi="宋体"/>
      <w:kern w:val="0"/>
      <w:sz w:val="18"/>
      <w:szCs w:val="18"/>
    </w:rPr>
  </w:style>
  <w:style w:type="character" w:customStyle="1" w:styleId="12">
    <w:name w:val="pp1"/>
    <w:basedOn w:val="9"/>
    <w:uiPriority w:val="0"/>
  </w:style>
  <w:style w:type="character" w:customStyle="1" w:styleId="13">
    <w:name w:val="页眉 Char"/>
    <w:link w:val="6"/>
    <w:qFormat/>
    <w:uiPriority w:val="0"/>
    <w:rPr>
      <w:kern w:val="2"/>
      <w:sz w:val="18"/>
      <w:szCs w:val="18"/>
    </w:rPr>
  </w:style>
  <w:style w:type="character" w:customStyle="1" w:styleId="14">
    <w:name w:val="页脚 Char"/>
    <w:link w:val="5"/>
    <w:qFormat/>
    <w:uiPriority w:val="99"/>
    <w:rPr>
      <w:kern w:val="2"/>
      <w:sz w:val="18"/>
      <w:szCs w:val="18"/>
    </w:rPr>
  </w:style>
  <w:style w:type="character" w:customStyle="1" w:styleId="15">
    <w:name w:val="apple-style-span"/>
    <w:basedOn w:val="9"/>
    <w:qFormat/>
    <w:uiPriority w:val="0"/>
  </w:style>
  <w:style w:type="character" w:customStyle="1" w:styleId="16">
    <w:name w:val="正文文本 Char"/>
    <w:link w:val="2"/>
    <w:qFormat/>
    <w:uiPriority w:val="0"/>
    <w:rPr>
      <w:kern w:val="2"/>
      <w:sz w:val="21"/>
      <w:szCs w:val="24"/>
    </w:rPr>
  </w:style>
  <w:style w:type="paragraph" w:styleId="17">
    <w:name w:val="List Paragraph"/>
    <w:basedOn w:val="1"/>
    <w:qFormat/>
    <w:uiPriority w:val="34"/>
    <w:pPr>
      <w:ind w:firstLine="420" w:firstLineChars="200"/>
    </w:pPr>
  </w:style>
  <w:style w:type="character" w:customStyle="1" w:styleId="18">
    <w:name w:val="纯文本 Char"/>
    <w:basedOn w:val="9"/>
    <w:link w:val="4"/>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393</Words>
  <Characters>2241</Characters>
  <Lines>18</Lines>
  <Paragraphs>5</Paragraphs>
  <TotalTime>522</TotalTime>
  <ScaleCrop>false</ScaleCrop>
  <LinksUpToDate>false</LinksUpToDate>
  <CharactersWithSpaces>2629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2018-03-07T07:57:00Z</dcterms:created>
  <dc:creator>微软用户</dc:creator>
  <cp:lastModifiedBy>Administrator</cp:lastModifiedBy>
  <cp:lastPrinted>2019-09-10T08:37:00Z</cp:lastPrinted>
  <dcterms:modified xsi:type="dcterms:W3CDTF">2020-09-11T02:50:30Z</dcterms:modified>
  <dc:title>“中国食品工业协会科学技术奖”奖励条例</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